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6239"/>
        <w:gridCol w:w="2160"/>
      </w:tblGrid>
      <w:tr w:rsidR="004662EE" w14:paraId="252406A0" w14:textId="77777777" w:rsidTr="004662EE"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10CC4F2F" w14:textId="77777777" w:rsidR="004662EE" w:rsidRDefault="004662EE" w:rsidP="004662EE">
            <w:pPr>
              <w:jc w:val="center"/>
              <w:rPr>
                <w:rFonts w:ascii="Verdana" w:hAnsi="Verdana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0669FC" w14:textId="77777777" w:rsidR="004662EE" w:rsidRDefault="004662EE" w:rsidP="004662E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  <w:color w:val="000080"/>
              </w:rPr>
              <w:t>Fiche descriptive de la formation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61CACF5" w14:textId="77777777" w:rsidR="004662EE" w:rsidRDefault="004662EE" w:rsidP="004662EE">
            <w:pPr>
              <w:jc w:val="center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4662EE" w14:paraId="67C219EC" w14:textId="77777777" w:rsidTr="004662EE">
        <w:trPr>
          <w:trHeight w:val="3050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721EF6DF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4860"/>
              <w:gridCol w:w="2554"/>
            </w:tblGrid>
            <w:tr w:rsidR="004662EE" w14:paraId="3CC98E10" w14:textId="77777777" w:rsidTr="00754D89">
              <w:trPr>
                <w:cantSplit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8F1C58B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ED593BB" wp14:editId="62917A9F">
                        <wp:extent cx="596265" cy="81915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5E343B23" w14:textId="77777777" w:rsidR="004662EE" w:rsidRDefault="004662EE" w:rsidP="009B2F01">
                  <w:pPr>
                    <w:framePr w:hSpace="141" w:wrap="around" w:vAnchor="text" w:hAnchor="margin" w:xAlign="center" w:y="-726"/>
                    <w:spacing w:line="240" w:lineRule="atLeast"/>
                    <w:ind w:left="213" w:hanging="213"/>
                    <w:jc w:val="both"/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kern w:val="16"/>
                      <w:sz w:val="20"/>
                      <w:szCs w:val="20"/>
                    </w:rPr>
                    <w:t>Emploi garanties collectives</w:t>
                  </w:r>
                  <w:r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14CD9F29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Espace Revendicatif </w:t>
                  </w:r>
                </w:p>
                <w:p w14:paraId="2F5F9B85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263, rue de Paris </w:t>
                  </w:r>
                </w:p>
                <w:p w14:paraId="01DE1CEE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Case </w:t>
                  </w:r>
                  <w:r w:rsidRPr="00326C53">
                    <w:rPr>
                      <w:rFonts w:ascii="Verdana" w:hAnsi="Verdana" w:cs="Arial"/>
                      <w:kern w:val="16"/>
                      <w:sz w:val="20"/>
                    </w:rPr>
                    <w:t>6-2</w:t>
                  </w:r>
                </w:p>
                <w:p w14:paraId="4108813F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2554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E531CDC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Tél : 01.55.82.82.46</w:t>
                  </w:r>
                </w:p>
                <w:p w14:paraId="558725FF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4662EE" w14:paraId="09BC6F4B" w14:textId="77777777" w:rsidTr="00754D89">
              <w:trPr>
                <w:cantSplit/>
                <w:trHeight w:val="567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1B5BE145" w14:textId="77777777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414" w:type="dxa"/>
                  <w:gridSpan w:val="2"/>
                  <w:vAlign w:val="center"/>
                </w:tcPr>
                <w:p w14:paraId="2EDDC54C" w14:textId="1A2E8FBC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 w:rsidRPr="00C07C21">
                    <w:rPr>
                      <w:rFonts w:ascii="Verdana" w:hAnsi="Verdana" w:cs="Arial"/>
                      <w:kern w:val="16"/>
                      <w:sz w:val="20"/>
                    </w:rPr>
                    <w:t>Courriel</w:t>
                  </w: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 : </w:t>
                  </w:r>
                  <w:r w:rsidRPr="00252290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>emploi-garanties-coll@cgt.</w:t>
                  </w:r>
                  <w:r w:rsidR="00824E5A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>org</w:t>
                  </w:r>
                </w:p>
                <w:p w14:paraId="0CE6B50D" w14:textId="210BF716" w:rsidR="004662EE" w:rsidRDefault="004662EE" w:rsidP="009B2F01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Site internet : </w:t>
                  </w:r>
                </w:p>
              </w:tc>
            </w:tr>
          </w:tbl>
          <w:p w14:paraId="1D06533C" w14:textId="77777777" w:rsidR="004662EE" w:rsidRDefault="004662EE" w:rsidP="004662EE">
            <w:pPr>
              <w:jc w:val="both"/>
              <w:rPr>
                <w:sz w:val="18"/>
                <w:szCs w:val="18"/>
              </w:rPr>
            </w:pPr>
          </w:p>
          <w:p w14:paraId="16B3E71C" w14:textId="6292F8A1" w:rsidR="004662EE" w:rsidRDefault="004662EE" w:rsidP="004662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La Négociation collective </w:t>
            </w:r>
            <w:r w:rsidR="00B22937">
              <w:rPr>
                <w:rFonts w:ascii="Verdana" w:hAnsi="Verdana"/>
                <w:b/>
              </w:rPr>
              <w:t xml:space="preserve">de branche </w:t>
            </w:r>
          </w:p>
          <w:p w14:paraId="0EB5ED80" w14:textId="77777777" w:rsidR="004662EE" w:rsidRDefault="004662EE" w:rsidP="004662EE">
            <w:pPr>
              <w:jc w:val="both"/>
            </w:pPr>
          </w:p>
          <w:p w14:paraId="7464F02F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Public concerné :</w:t>
            </w:r>
          </w:p>
          <w:p w14:paraId="5F5F2D1D" w14:textId="77777777" w:rsidR="004662EE" w:rsidRDefault="004662EE" w:rsidP="004662EE">
            <w:pPr>
              <w:pStyle w:val="Corpsdetexte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61529D0E" w14:textId="77777777" w:rsidR="004662EE" w:rsidRDefault="004662EE" w:rsidP="004662EE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Négociateur.rice.s</w:t>
            </w:r>
            <w:proofErr w:type="spellEnd"/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de branche, responsables ou membres des collectifs DLAJ</w:t>
            </w:r>
            <w:r w:rsidR="002E6F49">
              <w:rPr>
                <w:rFonts w:ascii="Verdana" w:hAnsi="Verdana" w:cs="Arial"/>
                <w:i/>
                <w:sz w:val="18"/>
                <w:szCs w:val="18"/>
              </w:rPr>
              <w:t xml:space="preserve"> des fédérations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animateur.rice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et </w:t>
            </w:r>
            <w:proofErr w:type="spellStart"/>
            <w:r>
              <w:rPr>
                <w:rFonts w:ascii="Verdana" w:hAnsi="Verdana" w:cs="Arial"/>
                <w:i/>
                <w:sz w:val="18"/>
                <w:szCs w:val="18"/>
              </w:rPr>
              <w:t>intervenant.</w:t>
            </w:r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e.s</w:t>
            </w:r>
            <w:proofErr w:type="spellEnd"/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) ou futurs 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de formations dans ce domaine.</w:t>
            </w:r>
          </w:p>
          <w:p w14:paraId="39601507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36137972" w14:textId="77777777" w:rsidR="004662EE" w:rsidRPr="00FC16C5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 contexte qui amène à faire de la formation :</w:t>
            </w:r>
          </w:p>
          <w:p w14:paraId="2426E454" w14:textId="77777777" w:rsidR="00130B5A" w:rsidRDefault="00130B5A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3124329" w14:textId="3CADA432" w:rsidR="004662EE" w:rsidRDefault="004662EE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 modifications substantielles des règles de la négociation collective se sont multipliées ces dernières années : lois El Khomri de 2016 et ordonnances Macron en 2017. Ces changements majeur</w:t>
            </w:r>
            <w:r w:rsidR="004D7A82">
              <w:rPr>
                <w:rFonts w:ascii="Verdana" w:hAnsi="Verdana"/>
                <w:sz w:val="18"/>
                <w:szCs w:val="18"/>
              </w:rPr>
              <w:t>s</w:t>
            </w:r>
            <w:r w:rsidR="00962F3C">
              <w:rPr>
                <w:rFonts w:ascii="Verdana" w:hAnsi="Verdana"/>
                <w:sz w:val="18"/>
                <w:szCs w:val="18"/>
              </w:rPr>
              <w:t xml:space="preserve"> rend</w:t>
            </w:r>
            <w:r w:rsidR="004D7A82">
              <w:rPr>
                <w:rFonts w:ascii="Verdana" w:hAnsi="Verdana"/>
                <w:sz w:val="18"/>
                <w:szCs w:val="18"/>
              </w:rPr>
              <w:t>ent</w:t>
            </w:r>
            <w:r w:rsidR="00962F3C">
              <w:rPr>
                <w:rFonts w:ascii="Verdana" w:hAnsi="Verdana"/>
                <w:sz w:val="18"/>
                <w:szCs w:val="18"/>
              </w:rPr>
              <w:t xml:space="preserve"> d’autant plus nécessaire la formation des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négociateur.rice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et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sur ces nouvelles règles, pour conduire au mieux notre démarche syndicale sur cette question et défendre les intérêts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 xml:space="preserve">des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salarié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.e.s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EA72ACC" w14:textId="77777777" w:rsidR="004662EE" w:rsidRDefault="004662EE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E21C914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112BBD24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objectifs de formation :</w:t>
            </w:r>
          </w:p>
          <w:p w14:paraId="5603BC62" w14:textId="77777777" w:rsidR="00130B5A" w:rsidRDefault="00130B5A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685EDF2E" w14:textId="77777777" w:rsidR="004662EE" w:rsidRPr="001E249A" w:rsidRDefault="004662EE" w:rsidP="001E249A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225D9">
              <w:rPr>
                <w:rFonts w:ascii="Verdana" w:hAnsi="Verdana"/>
                <w:b w:val="0"/>
                <w:sz w:val="18"/>
                <w:szCs w:val="18"/>
              </w:rPr>
              <w:t>A la fin de la formation les stagiaires seront capables de :</w:t>
            </w:r>
            <w:r w:rsidR="001E249A" w:rsidRPr="001E249A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="001E249A" w:rsidRPr="001E249A">
              <w:rPr>
                <w:rFonts w:ascii="Verdana" w:hAnsi="Verdana"/>
                <w:b w:val="0"/>
                <w:sz w:val="18"/>
                <w:szCs w:val="18"/>
              </w:rPr>
              <w:t xml:space="preserve">comprendre l'évolution des règles en matière d'articulation </w:t>
            </w:r>
            <w:r w:rsidR="001E249A">
              <w:rPr>
                <w:rFonts w:ascii="Verdana" w:hAnsi="Verdana"/>
                <w:b w:val="0"/>
                <w:sz w:val="18"/>
                <w:szCs w:val="18"/>
              </w:rPr>
              <w:t>des sources en droit du travail, i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dentifier les nouvelles règles juridiques applicables à la négociation collective</w:t>
            </w:r>
            <w:r w:rsidR="001E249A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et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les outils juridiques permettant une intervention syndicale 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en conformité avec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les valeurs de la CGT</w:t>
            </w:r>
            <w:r w:rsidRPr="00C225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AA4D0EA" w14:textId="77777777" w:rsidR="001E249A" w:rsidRDefault="001E249A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</w:p>
          <w:p w14:paraId="3FEF5562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thèmes abordés :</w:t>
            </w:r>
          </w:p>
          <w:p w14:paraId="5BAB692A" w14:textId="77777777" w:rsidR="004662EE" w:rsidRDefault="004662EE" w:rsidP="004662E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EE64EB" w14:textId="77777777" w:rsidR="004662EE" w:rsidRPr="00326C53" w:rsidRDefault="004662EE" w:rsidP="004662EE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C53">
              <w:rPr>
                <w:rFonts w:ascii="Verdana" w:hAnsi="Verdana" w:cs="Arial"/>
                <w:sz w:val="18"/>
                <w:szCs w:val="18"/>
              </w:rPr>
              <w:t>La hiérarchie des normes (liens loi, accords de branche et d’entreprise)</w:t>
            </w:r>
          </w:p>
          <w:p w14:paraId="29A28475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Rôle de la branche et nouvelle architecture autour des 3 blocs</w:t>
            </w:r>
            <w:r w:rsidR="004662EE" w:rsidRPr="00326C5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AC0445C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Articulation avec la négociation d’entreprise</w:t>
            </w:r>
          </w:p>
          <w:p w14:paraId="1D0B5EAE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950270">
              <w:rPr>
                <w:rFonts w:ascii="Verdana" w:hAnsi="Verdana" w:cs="Arial"/>
                <w:sz w:val="18"/>
                <w:szCs w:val="18"/>
              </w:rPr>
              <w:t>es nouvelles modalités de négociation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dans les branches</w:t>
            </w:r>
          </w:p>
          <w:p w14:paraId="583C0A35" w14:textId="77777777" w:rsidR="004662EE" w:rsidRDefault="004662EE" w:rsidP="004662E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2607AA8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prérequis  à cette formation :</w:t>
            </w:r>
          </w:p>
          <w:p w14:paraId="1A4E4BFC" w14:textId="1C1E8F6D" w:rsidR="004662EE" w:rsidRDefault="00824E5A" w:rsidP="004662EE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Prérequis : </w:t>
            </w:r>
            <w:r w:rsidR="004662EE">
              <w:rPr>
                <w:rFonts w:ascii="Verdana" w:hAnsi="Verdana" w:cs="Arial"/>
                <w:sz w:val="18"/>
                <w:szCs w:val="18"/>
              </w:rPr>
              <w:t xml:space="preserve">Ce stage nécessite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une connaissance pratique ou théorique de la négociation de </w:t>
            </w:r>
            <w:r w:rsidR="004F0C34">
              <w:rPr>
                <w:rFonts w:ascii="Verdana" w:hAnsi="Verdana" w:cs="Arial"/>
                <w:sz w:val="18"/>
                <w:szCs w:val="18"/>
              </w:rPr>
              <w:t>branche.</w:t>
            </w:r>
            <w:r w:rsidR="004662E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8C5CAED" w14:textId="77777777" w:rsidR="004662EE" w:rsidRDefault="004662EE" w:rsidP="004662E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706D1C4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Forme et durée de l’action de formation </w:t>
            </w:r>
          </w:p>
          <w:p w14:paraId="0BAA4D15" w14:textId="25E02C5E" w:rsidR="004662EE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="00130B5A">
              <w:rPr>
                <w:rFonts w:ascii="Verdana" w:hAnsi="Verdana" w:cs="Arial"/>
                <w:sz w:val="18"/>
                <w:szCs w:val="18"/>
              </w:rPr>
              <w:t xml:space="preserve">e stage sera </w:t>
            </w:r>
            <w:r w:rsidR="00456D22">
              <w:rPr>
                <w:rFonts w:ascii="Verdana" w:hAnsi="Verdana" w:cs="Arial"/>
                <w:sz w:val="18"/>
                <w:szCs w:val="18"/>
              </w:rPr>
              <w:t>coanimé</w:t>
            </w:r>
            <w:r w:rsidR="00130B5A">
              <w:rPr>
                <w:rFonts w:ascii="Verdana" w:hAnsi="Verdana" w:cs="Arial"/>
                <w:sz w:val="18"/>
                <w:szCs w:val="18"/>
              </w:rPr>
              <w:t xml:space="preserve"> par Jamil</w:t>
            </w:r>
            <w:r w:rsidR="008D75AB">
              <w:rPr>
                <w:rFonts w:ascii="Verdana" w:hAnsi="Verdana" w:cs="Arial"/>
                <w:sz w:val="18"/>
                <w:szCs w:val="18"/>
              </w:rPr>
              <w:t>a MANSOUR</w:t>
            </w:r>
            <w:r>
              <w:rPr>
                <w:rFonts w:ascii="Verdana" w:hAnsi="Verdana" w:cs="Arial"/>
                <w:sz w:val="18"/>
                <w:szCs w:val="18"/>
              </w:rPr>
              <w:t>, conseillère confédérale à l’espace rev</w:t>
            </w:r>
            <w:r w:rsidR="001E249A">
              <w:rPr>
                <w:rFonts w:ascii="Verdana" w:hAnsi="Verdana" w:cs="Arial"/>
                <w:sz w:val="18"/>
                <w:szCs w:val="18"/>
              </w:rPr>
              <w:t xml:space="preserve">endicatif et deux </w:t>
            </w:r>
            <w:r w:rsidR="004D7A82">
              <w:rPr>
                <w:rFonts w:ascii="Verdana" w:hAnsi="Verdana" w:cs="Arial"/>
                <w:sz w:val="18"/>
                <w:szCs w:val="18"/>
              </w:rPr>
              <w:t>enseignants, Nicole</w:t>
            </w:r>
            <w:r w:rsidR="008D75AB">
              <w:rPr>
                <w:rFonts w:ascii="Verdana" w:hAnsi="Verdana" w:cs="Arial"/>
                <w:sz w:val="18"/>
                <w:szCs w:val="18"/>
              </w:rPr>
              <w:t xml:space="preserve"> MAGGI-GERMAIN</w:t>
            </w:r>
            <w:r w:rsidR="001E249A">
              <w:rPr>
                <w:rFonts w:ascii="Verdana" w:hAnsi="Verdana" w:cs="Arial"/>
                <w:sz w:val="18"/>
                <w:szCs w:val="18"/>
              </w:rPr>
              <w:t xml:space="preserve"> et </w:t>
            </w:r>
            <w:r w:rsidR="004F0C34">
              <w:rPr>
                <w:rFonts w:ascii="Verdana" w:hAnsi="Verdana" w:cs="Arial"/>
                <w:sz w:val="18"/>
                <w:szCs w:val="18"/>
              </w:rPr>
              <w:t xml:space="preserve">Jean Michel Denis </w:t>
            </w:r>
            <w:r>
              <w:rPr>
                <w:rFonts w:ascii="Verdana" w:hAnsi="Verdana" w:cs="Arial"/>
                <w:sz w:val="18"/>
                <w:szCs w:val="18"/>
              </w:rPr>
              <w:t>de l’Institut des Science sociales du Travail (ISST).</w:t>
            </w:r>
          </w:p>
          <w:p w14:paraId="1F5BE24B" w14:textId="77777777" w:rsidR="004662EE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3050B8C" w14:textId="0F2A646E" w:rsidR="004662EE" w:rsidRPr="00714E42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4E42">
              <w:rPr>
                <w:rFonts w:ascii="Verdana" w:hAnsi="Verdana" w:cs="Arial"/>
                <w:sz w:val="18"/>
                <w:szCs w:val="18"/>
              </w:rPr>
              <w:t xml:space="preserve">Ce stage se déroulera sur cinq jours </w:t>
            </w:r>
            <w:r w:rsidRPr="00714E42">
              <w:rPr>
                <w:rFonts w:ascii="Verdana" w:hAnsi="Verdana" w:cs="Arial"/>
                <w:b/>
                <w:sz w:val="18"/>
                <w:szCs w:val="18"/>
              </w:rPr>
              <w:t xml:space="preserve">du </w:t>
            </w:r>
            <w:r w:rsidR="00CC2DBA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962F3C">
              <w:rPr>
                <w:rFonts w:ascii="Verdana" w:hAnsi="Verdana" w:cs="Arial"/>
                <w:b/>
                <w:sz w:val="18"/>
                <w:szCs w:val="18"/>
              </w:rPr>
              <w:t xml:space="preserve"> au </w:t>
            </w:r>
            <w:r w:rsidR="00CC2DBA"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="00962F3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CC2DBA">
              <w:rPr>
                <w:rFonts w:ascii="Verdana" w:hAnsi="Verdana" w:cs="Arial"/>
                <w:b/>
                <w:sz w:val="18"/>
                <w:szCs w:val="18"/>
              </w:rPr>
              <w:t>novembre</w:t>
            </w:r>
            <w:r w:rsidR="006D4A7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6F1045" w:rsidRPr="00714E42">
              <w:rPr>
                <w:rFonts w:ascii="Verdana" w:hAnsi="Verdana" w:cs="Arial"/>
                <w:b/>
                <w:sz w:val="18"/>
                <w:szCs w:val="18"/>
              </w:rPr>
              <w:t>202</w:t>
            </w:r>
            <w:r w:rsidR="00CC2DBA"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="006D4A7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714E42">
              <w:rPr>
                <w:rFonts w:ascii="Verdana" w:hAnsi="Verdana" w:cs="Arial"/>
                <w:sz w:val="18"/>
                <w:szCs w:val="18"/>
              </w:rPr>
              <w:t>à l’ISST à Bourg-la-Reine.</w:t>
            </w:r>
          </w:p>
          <w:p w14:paraId="1398CB76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</w:tc>
      </w:tr>
      <w:tr w:rsidR="004662EE" w14:paraId="134BBFCC" w14:textId="77777777" w:rsidTr="004662EE">
        <w:trPr>
          <w:trHeight w:val="248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C696B72" w14:textId="77777777" w:rsidR="004662EE" w:rsidRDefault="004662EE" w:rsidP="004662E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C099E3E" w14:textId="77777777" w:rsidR="00A1723A" w:rsidRDefault="00A1723A" w:rsidP="00A1723A">
      <w:pPr>
        <w:jc w:val="both"/>
        <w:rPr>
          <w:rFonts w:ascii="Verdana" w:hAnsi="Verdana"/>
          <w:sz w:val="20"/>
          <w:szCs w:val="20"/>
        </w:rPr>
      </w:pPr>
    </w:p>
    <w:p w14:paraId="7808A602" w14:textId="77777777" w:rsidR="004F0C34" w:rsidRDefault="004F0C34" w:rsidP="00343A0D"/>
    <w:sectPr w:rsidR="004F0C34" w:rsidSect="005A44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3A"/>
    <w:rsid w:val="00034AD6"/>
    <w:rsid w:val="00035C49"/>
    <w:rsid w:val="00060A20"/>
    <w:rsid w:val="00067627"/>
    <w:rsid w:val="00106BE3"/>
    <w:rsid w:val="00130B5A"/>
    <w:rsid w:val="001335E6"/>
    <w:rsid w:val="001B540D"/>
    <w:rsid w:val="001E249A"/>
    <w:rsid w:val="001E2AF3"/>
    <w:rsid w:val="001F76A3"/>
    <w:rsid w:val="0026684D"/>
    <w:rsid w:val="002863CE"/>
    <w:rsid w:val="002E6F49"/>
    <w:rsid w:val="00326C53"/>
    <w:rsid w:val="00343A0D"/>
    <w:rsid w:val="004415B0"/>
    <w:rsid w:val="00456D22"/>
    <w:rsid w:val="004662EE"/>
    <w:rsid w:val="00481734"/>
    <w:rsid w:val="004D7A82"/>
    <w:rsid w:val="004E5F68"/>
    <w:rsid w:val="004F0C34"/>
    <w:rsid w:val="00576A46"/>
    <w:rsid w:val="005805C5"/>
    <w:rsid w:val="005A4463"/>
    <w:rsid w:val="005E1B37"/>
    <w:rsid w:val="00600557"/>
    <w:rsid w:val="006A6DB7"/>
    <w:rsid w:val="006D4A74"/>
    <w:rsid w:val="006F1045"/>
    <w:rsid w:val="00714E42"/>
    <w:rsid w:val="007E373D"/>
    <w:rsid w:val="00824E5A"/>
    <w:rsid w:val="00833FE0"/>
    <w:rsid w:val="008D75AB"/>
    <w:rsid w:val="00950270"/>
    <w:rsid w:val="00962F3C"/>
    <w:rsid w:val="009A55BA"/>
    <w:rsid w:val="009B2F01"/>
    <w:rsid w:val="00A1723A"/>
    <w:rsid w:val="00AB2185"/>
    <w:rsid w:val="00AD6E8E"/>
    <w:rsid w:val="00AE734D"/>
    <w:rsid w:val="00B22937"/>
    <w:rsid w:val="00C225D9"/>
    <w:rsid w:val="00C63DAD"/>
    <w:rsid w:val="00CC2DBA"/>
    <w:rsid w:val="00CC43D9"/>
    <w:rsid w:val="00E52531"/>
    <w:rsid w:val="00E569ED"/>
    <w:rsid w:val="00EE2FBD"/>
    <w:rsid w:val="00F60AEA"/>
    <w:rsid w:val="00F8060C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88B"/>
  <w15:chartTrackingRefBased/>
  <w15:docId w15:val="{C357F2E6-7C3A-4C22-A340-B9652CD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2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23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A1723A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A1723A"/>
    <w:rPr>
      <w:rFonts w:ascii="Comic Sans MS" w:eastAsia="Times New Roman" w:hAnsi="Comic Sans M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A1723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1723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A1723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F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F4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A.LESAGE</dc:creator>
  <cp:keywords/>
  <dc:description/>
  <cp:lastModifiedBy>Jamila Mansour</cp:lastModifiedBy>
  <cp:revision>2</cp:revision>
  <cp:lastPrinted>2018-08-29T12:26:00Z</cp:lastPrinted>
  <dcterms:created xsi:type="dcterms:W3CDTF">2026-04-17T08:13:00Z</dcterms:created>
  <dcterms:modified xsi:type="dcterms:W3CDTF">2026-04-17T08:13:00Z</dcterms:modified>
</cp:coreProperties>
</file>