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0"/>
        <w:tblW w:w="10275" w:type="dxa"/>
        <w:jc w:val="left"/>
        <w:tblInd w:w="-660" w:type="dxa"/>
        <w:tblLayout w:type="fixed"/>
        <w:tblCellMar>
          <w:top w:w="0" w:type="dxa"/>
          <w:left w:w="108" w:type="dxa"/>
          <w:bottom w:w="0" w:type="dxa"/>
          <w:right w:w="108" w:type="dxa"/>
        </w:tblCellMar>
        <w:tblLook w:firstRow="0" w:noVBand="0" w:lastRow="0" w:firstColumn="0" w:lastColumn="0" w:noHBand="0" w:val="0000"/>
      </w:tblPr>
      <w:tblGrid>
        <w:gridCol w:w="2383"/>
        <w:gridCol w:w="5460"/>
        <w:gridCol w:w="2432"/>
      </w:tblGrid>
      <w:tr>
        <w:trPr>
          <w:trHeight w:val="440" w:hRule="atLeast"/>
        </w:trPr>
        <w:tc>
          <w:tcPr>
            <w:tcW w:w="23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ook Antiqua" w:hAnsi="Book Antiqua" w:eastAsia="Book Antiqua" w:cs="Book Antiqua"/>
                <w:b/>
                <w:i/>
                <w:i/>
                <w:color w:val="008000"/>
                <w:sz w:val="28"/>
                <w:szCs w:val="28"/>
              </w:rPr>
            </w:pPr>
            <w:r>
              <w:rPr>
                <w:rFonts w:eastAsia="Book Antiqua" w:cs="Book Antiqua" w:ascii="Book Antiqua" w:hAnsi="Book Antiqua"/>
                <w:b/>
                <w:i/>
                <w:color w:val="008000"/>
                <w:sz w:val="28"/>
                <w:szCs w:val="28"/>
              </w:rPr>
            </w:r>
          </w:p>
        </w:tc>
        <w:tc>
          <w:tcPr>
            <w:tcW w:w="5460" w:type="dxa"/>
            <w:tcBorders>
              <w:top w:val="single" w:sz="4" w:space="0" w:color="000000"/>
              <w:left w:val="single" w:sz="4" w:space="0" w:color="000000"/>
              <w:bottom w:val="single" w:sz="4" w:space="0" w:color="000000"/>
              <w:right w:val="single" w:sz="4" w:space="0" w:color="000000"/>
            </w:tcBorders>
            <w:shd w:color="auto" w:fill="F3F3F3" w:val="clear"/>
            <w:vAlign w:val="center"/>
          </w:tcPr>
          <w:p>
            <w:pPr>
              <w:pStyle w:val="Normal"/>
              <w:jc w:val="center"/>
              <w:rPr>
                <w:rFonts w:ascii="Book Antiqua" w:hAnsi="Book Antiqua" w:eastAsia="Book Antiqua" w:cs="Book Antiqua"/>
                <w:smallCaps/>
                <w:sz w:val="28"/>
                <w:szCs w:val="28"/>
              </w:rPr>
            </w:pPr>
            <w:r>
              <w:rPr>
                <w:rFonts w:eastAsia="Book Antiqua" w:cs="Book Antiqua" w:ascii="Book Antiqua" w:hAnsi="Book Antiqua"/>
                <w:b/>
                <w:smallCaps/>
                <w:color w:val="000080"/>
                <w:sz w:val="28"/>
                <w:szCs w:val="28"/>
              </w:rPr>
              <w:t>Fiche descriptive de la formation</w:t>
            </w:r>
          </w:p>
        </w:tc>
        <w:tc>
          <w:tcPr>
            <w:tcW w:w="2432" w:type="dxa"/>
            <w:tcBorders>
              <w:top w:val="single" w:sz="4" w:space="0" w:color="000000"/>
              <w:left w:val="single" w:sz="4" w:space="0" w:color="000000"/>
              <w:bottom w:val="single" w:sz="4" w:space="0" w:color="000000"/>
              <w:right w:val="single" w:sz="4" w:space="0" w:color="000000"/>
            </w:tcBorders>
          </w:tcPr>
          <w:p>
            <w:pPr>
              <w:pStyle w:val="Normal"/>
              <w:jc w:val="center"/>
              <w:rPr>
                <w:rFonts w:ascii="Book Antiqua" w:hAnsi="Book Antiqua" w:eastAsia="Book Antiqua" w:cs="Book Antiqua"/>
                <w:color w:val="FF0000"/>
                <w:sz w:val="28"/>
                <w:szCs w:val="28"/>
              </w:rPr>
            </w:pPr>
            <w:r>
              <w:rPr>
                <w:rFonts w:eastAsia="Book Antiqua" w:cs="Book Antiqua" w:ascii="Book Antiqua" w:hAnsi="Book Antiqua"/>
                <w:color w:val="FF0000"/>
                <w:sz w:val="28"/>
                <w:szCs w:val="28"/>
              </w:rPr>
            </w:r>
          </w:p>
        </w:tc>
      </w:tr>
      <w:tr>
        <w:trPr>
          <w:trHeight w:val="3040"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rPr>
                <w:rFonts w:ascii="Book Antiqua" w:hAnsi="Book Antiqua" w:eastAsia="Book Antiqua" w:cs="Book Antiqua"/>
                <w:sz w:val="18"/>
                <w:szCs w:val="18"/>
              </w:rPr>
            </w:pPr>
            <w:r>
              <w:rPr>
                <w:rFonts w:eastAsia="Book Antiqua" w:cs="Book Antiqua" w:ascii="Book Antiqua" w:hAnsi="Book Antiqua"/>
                <w:sz w:val="18"/>
                <w:szCs w:val="18"/>
              </w:rPr>
            </w:r>
          </w:p>
          <w:tbl>
            <w:tblPr>
              <w:tblStyle w:val="a1"/>
              <w:tblW w:w="884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04"/>
              <w:gridCol w:w="5046"/>
              <w:gridCol w:w="2291"/>
            </w:tblGrid>
            <w:tr>
              <w:trPr/>
              <w:tc>
                <w:tcPr>
                  <w:tcW w:w="1504" w:type="dxa"/>
                  <w:vMerge w:val="restart"/>
                  <w:tcBorders>
                    <w:right w:val="single" w:sz="4" w:space="0" w:color="000000"/>
                  </w:tcBorders>
                </w:tcPr>
                <w:p>
                  <w:pPr>
                    <w:pStyle w:val="Normal"/>
                    <w:rPr>
                      <w:rFonts w:ascii="Book Antiqua" w:hAnsi="Book Antiqua" w:eastAsia="Book Antiqua" w:cs="Book Antiqua"/>
                      <w:sz w:val="18"/>
                      <w:szCs w:val="18"/>
                    </w:rPr>
                  </w:pPr>
                  <w:r>
                    <w:rPr/>
                    <w:drawing>
                      <wp:inline distT="0" distB="0" distL="0" distR="0">
                        <wp:extent cx="809625" cy="1106805"/>
                        <wp:effectExtent l="0" t="0" r="0" b="0"/>
                        <wp:docPr id="1" name="image2.png"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gtform"/>
                                <pic:cNvPicPr>
                                  <a:picLocks noChangeAspect="1" noChangeArrowheads="1"/>
                                </pic:cNvPicPr>
                              </pic:nvPicPr>
                              <pic:blipFill>
                                <a:blip r:embed="rId2"/>
                                <a:stretch>
                                  <a:fillRect/>
                                </a:stretch>
                              </pic:blipFill>
                              <pic:spPr bwMode="auto">
                                <a:xfrm>
                                  <a:off x="0" y="0"/>
                                  <a:ext cx="809625" cy="1106805"/>
                                </a:xfrm>
                                <a:prstGeom prst="rect">
                                  <a:avLst/>
                                </a:prstGeom>
                                <a:noFill/>
                              </pic:spPr>
                            </pic:pic>
                          </a:graphicData>
                        </a:graphic>
                      </wp:inline>
                    </w:drawing>
                  </w:r>
                </w:p>
              </w:tc>
              <w:tc>
                <w:tcPr>
                  <w:tcW w:w="5046"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pPr>
                    <w:pStyle w:val="Normal"/>
                    <w:ind w:left="213"/>
                    <w:rPr>
                      <w:rFonts w:ascii="Book Antiqua" w:hAnsi="Book Antiqua" w:eastAsia="Book Antiqua" w:cs="Book Antiqua"/>
                      <w:sz w:val="20"/>
                      <w:szCs w:val="20"/>
                    </w:rPr>
                  </w:pPr>
                  <w:r>
                    <w:rPr>
                      <w:rFonts w:eastAsia="Book Antiqua" w:cs="Book Antiqua" w:ascii="Book Antiqua" w:hAnsi="Book Antiqua"/>
                      <w:b/>
                      <w:sz w:val="20"/>
                      <w:szCs w:val="20"/>
                    </w:rPr>
                    <w:t>Comité National des Travailleurs Privés d’Emploi et Précaires - CGT</w:t>
                  </w:r>
                </w:p>
                <w:p>
                  <w:pPr>
                    <w:pStyle w:val="Normal"/>
                    <w:rPr>
                      <w:rFonts w:ascii="Book Antiqua" w:hAnsi="Book Antiqua" w:eastAsia="Book Antiqua" w:cs="Book Antiqua"/>
                      <w:sz w:val="20"/>
                      <w:szCs w:val="20"/>
                    </w:rPr>
                  </w:pPr>
                  <w:r>
                    <w:rPr>
                      <w:rFonts w:eastAsia="Book Antiqua" w:cs="Book Antiqua" w:ascii="Book Antiqua" w:hAnsi="Book Antiqua"/>
                      <w:sz w:val="20"/>
                      <w:szCs w:val="20"/>
                    </w:rPr>
                    <w:t>263, rue de Paris</w:t>
                  </w:r>
                </w:p>
                <w:p>
                  <w:pPr>
                    <w:pStyle w:val="Normal"/>
                    <w:rPr>
                      <w:rFonts w:ascii="Book Antiqua" w:hAnsi="Book Antiqua" w:eastAsia="Book Antiqua" w:cs="Book Antiqua"/>
                      <w:sz w:val="20"/>
                      <w:szCs w:val="20"/>
                    </w:rPr>
                  </w:pPr>
                  <w:r>
                    <w:rPr>
                      <w:rFonts w:eastAsia="Book Antiqua" w:cs="Book Antiqua" w:ascii="Book Antiqua" w:hAnsi="Book Antiqua"/>
                      <w:sz w:val="20"/>
                      <w:szCs w:val="20"/>
                    </w:rPr>
                    <w:t>93516 MONTREUIL CEDEX</w:t>
                  </w:r>
                </w:p>
              </w:tc>
              <w:tc>
                <w:tcPr>
                  <w:tcW w:w="229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pPr>
                    <w:pStyle w:val="Normal"/>
                    <w:rPr>
                      <w:rFonts w:ascii="Book Antiqua" w:hAnsi="Book Antiqua" w:eastAsia="Book Antiqua" w:cs="Book Antiqua"/>
                      <w:sz w:val="20"/>
                      <w:szCs w:val="20"/>
                    </w:rPr>
                  </w:pPr>
                  <w:r>
                    <w:rPr>
                      <w:rFonts w:eastAsia="Book Antiqua" w:cs="Book Antiqua" w:ascii="Book Antiqua" w:hAnsi="Book Antiqua"/>
                      <w:sz w:val="20"/>
                      <w:szCs w:val="20"/>
                    </w:rPr>
                    <w:t>Tél : 01.55.82.82.20</w:t>
                  </w:r>
                </w:p>
              </w:tc>
            </w:tr>
            <w:tr>
              <w:trPr>
                <w:trHeight w:val="560" w:hRule="atLeast"/>
              </w:trPr>
              <w:tc>
                <w:tcPr>
                  <w:tcW w:w="1504" w:type="dxa"/>
                  <w:vMerge w:val="continue"/>
                  <w:tcBorders>
                    <w:right w:val="single" w:sz="4" w:space="0" w:color="000000"/>
                  </w:tcBorders>
                </w:tcPr>
                <w:p>
                  <w:pPr>
                    <w:pStyle w:val="Normal"/>
                    <w:widowControl w:val="false"/>
                    <w:spacing w:lineRule="auto" w:line="276"/>
                    <w:jc w:val="left"/>
                    <w:rPr>
                      <w:rFonts w:ascii="Book Antiqua" w:hAnsi="Book Antiqua" w:eastAsia="Book Antiqua" w:cs="Book Antiqua"/>
                      <w:sz w:val="20"/>
                      <w:szCs w:val="20"/>
                    </w:rPr>
                  </w:pPr>
                  <w:r>
                    <w:rPr>
                      <w:rFonts w:eastAsia="Book Antiqua" w:cs="Book Antiqua" w:ascii="Book Antiqua" w:hAnsi="Book Antiqua"/>
                      <w:sz w:val="20"/>
                      <w:szCs w:val="20"/>
                    </w:rPr>
                  </w:r>
                </w:p>
              </w:tc>
              <w:tc>
                <w:tcPr>
                  <w:tcW w:w="733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0"/>
                      <w:szCs w:val="20"/>
                    </w:rPr>
                  </w:pPr>
                  <w:r>
                    <w:rPr>
                      <w:rFonts w:eastAsia="Book Antiqua" w:cs="Book Antiqua" w:ascii="Book Antiqua" w:hAnsi="Book Antiqua"/>
                      <w:sz w:val="24"/>
                      <w:szCs w:val="24"/>
                    </w:rPr>
                    <w:t xml:space="preserve">Courriel : </w:t>
                  </w:r>
                  <w:hyperlink r:id="rId3">
                    <w:r>
                      <w:rPr>
                        <w:rStyle w:val="Hyperlink"/>
                        <w:rFonts w:eastAsia="Book Antiqua" w:cs="Book Antiqua" w:ascii="Book Antiqua" w:hAnsi="Book Antiqua"/>
                        <w:sz w:val="24"/>
                        <w:szCs w:val="24"/>
                      </w:rPr>
                      <w:t>chomeur@cgt.</w:t>
                    </w:r>
                    <w:r>
                      <w:rPr>
                        <w:rStyle w:val="Hyperlink"/>
                        <w:rFonts w:eastAsia="Book Antiqua" w:cs="Book Antiqua" w:ascii="Book Antiqua" w:hAnsi="Book Antiqua"/>
                        <w:sz w:val="24"/>
                        <w:szCs w:val="24"/>
                      </w:rPr>
                      <w:t>org</w:t>
                    </w:r>
                  </w:hyperlink>
                  <w:r>
                    <w:rPr>
                      <w:rStyle w:val="Hyperlink"/>
                      <w:rFonts w:eastAsia="Book Antiqua" w:cs="Book Antiqua" w:ascii="Book Antiqua" w:hAnsi="Book Antiqua"/>
                      <w:sz w:val="24"/>
                      <w:szCs w:val="24"/>
                    </w:rPr>
                    <w:t xml:space="preserve"> </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0"/>
                      <w:szCs w:val="20"/>
                    </w:rPr>
                  </w:pPr>
                  <w:r>
                    <w:rPr>
                      <w:rFonts w:eastAsia="Book Antiqua" w:cs="Book Antiqua" w:ascii="Book Antiqua" w:hAnsi="Book Antiqua"/>
                      <w:sz w:val="20"/>
                      <w:szCs w:val="20"/>
                    </w:rPr>
                  </w:r>
                </w:p>
              </w:tc>
            </w:tr>
          </w:tbl>
          <w:p>
            <w:pPr>
              <w:pStyle w:val="Normal"/>
              <w:rPr>
                <w:rFonts w:ascii="Book Antiqua" w:hAnsi="Book Antiqua" w:eastAsia="Book Antiqua" w:cs="Book Antiqua"/>
                <w:sz w:val="18"/>
                <w:szCs w:val="18"/>
              </w:rPr>
            </w:pPr>
            <w:r>
              <w:rPr>
                <w:rFonts w:eastAsia="Book Antiqua" w:cs="Book Antiqua" w:ascii="Book Antiqua" w:hAnsi="Book Antiqua"/>
                <w:sz w:val="18"/>
                <w:szCs w:val="18"/>
              </w:rPr>
            </w:r>
          </w:p>
          <w:p>
            <w:pPr>
              <w:pStyle w:val="Normal"/>
              <w:pBdr>
                <w:top w:val="single" w:sz="4" w:space="1" w:color="000000"/>
                <w:left w:val="single" w:sz="4" w:space="4" w:color="000000"/>
                <w:bottom w:val="single" w:sz="4" w:space="1" w:color="000000"/>
                <w:right w:val="single" w:sz="4" w:space="4" w:color="000000"/>
              </w:pBdr>
              <w:shd w:val="clear" w:color="auto" w:fill="E6E6E6"/>
              <w:rPr>
                <w:rFonts w:ascii="Book Antiqua" w:hAnsi="Book Antiqua" w:eastAsia="Book Antiqua" w:cs="Book Antiqua"/>
                <w:b/>
                <w:sz w:val="32"/>
                <w:szCs w:val="32"/>
              </w:rPr>
            </w:pPr>
            <w:r>
              <w:rPr>
                <w:rFonts w:eastAsia="Book Antiqua" w:cs="Book Antiqua" w:ascii="Book Antiqua" w:hAnsi="Book Antiqua"/>
                <w:b/>
                <w:sz w:val="32"/>
                <w:szCs w:val="32"/>
              </w:rPr>
            </w:r>
          </w:p>
          <w:p>
            <w:pPr>
              <w:pStyle w:val="Normal"/>
              <w:pBdr>
                <w:top w:val="single" w:sz="4" w:space="1" w:color="000000"/>
                <w:left w:val="single" w:sz="4" w:space="4" w:color="000000"/>
                <w:bottom w:val="single" w:sz="4" w:space="1" w:color="000000"/>
                <w:right w:val="single" w:sz="4" w:space="4" w:color="000000"/>
              </w:pBdr>
              <w:shd w:val="clear" w:color="auto" w:fill="E6E6E6"/>
              <w:jc w:val="center"/>
              <w:rPr>
                <w:rFonts w:ascii="Book Antiqua" w:hAnsi="Book Antiqua" w:eastAsia="Book Antiqua" w:cs="Book Antiqua"/>
                <w:b/>
                <w:sz w:val="32"/>
                <w:szCs w:val="32"/>
              </w:rPr>
            </w:pPr>
            <w:r>
              <w:rPr>
                <w:rFonts w:eastAsia="Book Antiqua" w:cs="Book Antiqua" w:ascii="Book Antiqua" w:hAnsi="Book Antiqua"/>
                <w:b/>
                <w:sz w:val="32"/>
                <w:szCs w:val="32"/>
              </w:rPr>
              <w:t>Organisation des Privés d’Emploi</w:t>
            </w:r>
          </w:p>
          <w:p>
            <w:pPr>
              <w:pStyle w:val="Normal"/>
              <w:pBdr>
                <w:top w:val="single" w:sz="4" w:space="1" w:color="000000"/>
                <w:left w:val="single" w:sz="4" w:space="4" w:color="000000"/>
                <w:bottom w:val="single" w:sz="4" w:space="1" w:color="000000"/>
                <w:right w:val="single" w:sz="4" w:space="4" w:color="000000"/>
              </w:pBdr>
              <w:shd w:val="clear" w:color="auto" w:fill="E6E6E6"/>
              <w:rPr>
                <w:rFonts w:ascii="Book Antiqua" w:hAnsi="Book Antiqua" w:eastAsia="Book Antiqua" w:cs="Book Antiqua"/>
                <w:b/>
                <w:sz w:val="32"/>
                <w:szCs w:val="32"/>
              </w:rPr>
            </w:pPr>
            <w:r>
              <w:rPr>
                <w:rFonts w:eastAsia="Book Antiqua" w:cs="Book Antiqua" w:ascii="Book Antiqua" w:hAnsi="Book Antiqua"/>
                <w:b/>
                <w:sz w:val="32"/>
                <w:szCs w:val="32"/>
              </w:rPr>
            </w:r>
          </w:p>
          <w:p>
            <w:pPr>
              <w:pStyle w:val="Normal"/>
              <w:rPr>
                <w:rFonts w:ascii="Book Antiqua" w:hAnsi="Book Antiqua" w:eastAsia="Book Antiqua" w:cs="Book Antiqua"/>
              </w:rPr>
            </w:pPr>
            <w:r>
              <w:rPr>
                <w:rFonts w:eastAsia="Book Antiqua" w:cs="Book Antiqua" w:ascii="Book Antiqua" w:hAnsi="Book Antiqua"/>
              </w:rPr>
            </w:r>
          </w:p>
          <w:p>
            <w:pPr>
              <w:pStyle w:val="Heading1"/>
              <w:jc w:val="both"/>
              <w:rPr/>
            </w:pPr>
            <w:r>
              <w:rPr>
                <w:rFonts w:eastAsia="Book Antiqua" w:cs="Book Antiqua" w:ascii="Book Antiqua" w:hAnsi="Book Antiqua"/>
                <w:color w:val="FF0000"/>
                <w:sz w:val="28"/>
                <w:szCs w:val="28"/>
              </w:rPr>
              <w:t>Public concerné :</w:t>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Normal"/>
              <w:numPr>
                <w:ilvl w:val="0"/>
                <w:numId w:val="2"/>
              </w:numPr>
              <w:jc w:val="both"/>
              <w:rPr/>
            </w:pPr>
            <w:r>
              <w:rPr>
                <w:rFonts w:eastAsia="Book Antiqua" w:cs="Book Antiqua" w:ascii="Book Antiqua" w:hAnsi="Book Antiqua"/>
              </w:rPr>
              <w:t>Les militant(e)s des Comités de Travailleurs Privés d’Emploi et Précaires</w:t>
            </w:r>
          </w:p>
          <w:p>
            <w:pPr>
              <w:pStyle w:val="Normal"/>
              <w:numPr>
                <w:ilvl w:val="0"/>
                <w:numId w:val="2"/>
              </w:numPr>
              <w:jc w:val="both"/>
              <w:rPr/>
            </w:pPr>
            <w:r>
              <w:rPr>
                <w:rFonts w:eastAsia="Book Antiqua" w:cs="Book Antiqua" w:ascii="Book Antiqua" w:hAnsi="Book Antiqua"/>
              </w:rPr>
              <w:t>Les SG et militant(e)s des Unions Locales voulant créer un Comité TPEP</w:t>
            </w:r>
          </w:p>
          <w:p>
            <w:pPr>
              <w:pStyle w:val="Normal"/>
              <w:jc w:val="both"/>
              <w:rPr>
                <w:rFonts w:ascii="Book Antiqua" w:hAnsi="Book Antiqua" w:eastAsia="Book Antiqua" w:cs="Book Antiqua"/>
              </w:rPr>
            </w:pPr>
            <w:r>
              <w:rPr>
                <w:rFonts w:eastAsia="Book Antiqua" w:cs="Book Antiqua" w:ascii="Book Antiqua" w:hAnsi="Book Antiqua"/>
              </w:rPr>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Heading1"/>
              <w:jc w:val="both"/>
              <w:rPr/>
            </w:pPr>
            <w:r>
              <w:rPr>
                <w:rFonts w:eastAsia="Book Antiqua" w:cs="Book Antiqua" w:ascii="Book Antiqua" w:hAnsi="Book Antiqua"/>
                <w:color w:val="FF0000"/>
                <w:sz w:val="28"/>
                <w:szCs w:val="28"/>
              </w:rPr>
              <w:t>Le contexte qui amène à faire de la formation :</w:t>
            </w:r>
          </w:p>
          <w:p>
            <w:pPr>
              <w:pStyle w:val="Heading1"/>
              <w:ind w:left="0"/>
              <w:jc w:val="both"/>
              <w:rPr>
                <w:rFonts w:ascii="Book Antiqua" w:hAnsi="Book Antiqua" w:eastAsia="Book Antiqua" w:cs="Book Antiqua"/>
                <w:b w:val="false"/>
                <w:i/>
                <w:i/>
                <w:sz w:val="24"/>
                <w:szCs w:val="24"/>
              </w:rPr>
            </w:pPr>
            <w:r>
              <w:rPr>
                <w:rFonts w:eastAsia="Book Antiqua" w:cs="Book Antiqua" w:ascii="Book Antiqua" w:hAnsi="Book Antiqua"/>
                <w:b w:val="false"/>
                <w:i/>
                <w:sz w:val="24"/>
                <w:szCs w:val="24"/>
              </w:rPr>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Normal"/>
              <w:spacing w:before="0" w:after="120"/>
              <w:ind w:left="283"/>
              <w:jc w:val="both"/>
              <w:rPr/>
            </w:pPr>
            <w:r>
              <w:rPr>
                <w:rFonts w:eastAsia="Book Antiqua" w:cs="Book Antiqua" w:ascii="Book Antiqua" w:hAnsi="Book Antiqua"/>
              </w:rPr>
              <w:t>Nous sommes dans une période violente pour les travailleurs : les contrats précaires, les licenciements, l’absence même d’emploi dans certains quartiers mènent des millions de travailleurs dans la misère et l’isolement.</w:t>
            </w:r>
          </w:p>
          <w:p>
            <w:pPr>
              <w:pStyle w:val="Normal"/>
              <w:spacing w:before="0" w:after="120"/>
              <w:ind w:left="283"/>
              <w:jc w:val="both"/>
              <w:rPr/>
            </w:pPr>
            <w:r>
              <w:rPr>
                <w:rFonts w:eastAsia="Book Antiqua" w:cs="Book Antiqua" w:ascii="Book Antiqua" w:hAnsi="Book Antiqua"/>
              </w:rPr>
              <w:t>La CGT organise les travailleurs privés d’emploi et précaires pour permettre l’organisation de leurs luttes, pour reconquérir le droit au travail, à la vie, à la dignité.</w:t>
            </w:r>
          </w:p>
          <w:p>
            <w:pPr>
              <w:pStyle w:val="Normal"/>
              <w:spacing w:before="0" w:after="120"/>
              <w:ind w:left="283"/>
              <w:jc w:val="both"/>
              <w:rPr/>
            </w:pPr>
            <w:r>
              <w:rPr>
                <w:rFonts w:eastAsia="Book Antiqua" w:cs="Book Antiqua" w:ascii="Book Antiqua" w:hAnsi="Book Antiqua"/>
              </w:rPr>
              <w:t>Ce combat est commun à tous et il fait surgir de nombreuses questions : comment qualifier le chômage, qui sont les responsables, comment appréhender les institutions de protection sociale (CAF, Pôle-Emploi etc) ?</w:t>
            </w:r>
          </w:p>
          <w:p>
            <w:pPr>
              <w:pStyle w:val="Normal"/>
              <w:spacing w:before="0" w:after="120"/>
              <w:ind w:left="283"/>
              <w:jc w:val="both"/>
              <w:rPr/>
            </w:pPr>
            <w:r>
              <w:rPr>
                <w:rFonts w:eastAsia="Book Antiqua" w:cs="Book Antiqua" w:ascii="Book Antiqua" w:hAnsi="Book Antiqua"/>
              </w:rPr>
              <w:t>Dans cette période, il est important que les syndiqués puissent se former et disposer des bons outils dans la bataille quotidienne contre le chômage et ses  conséquences.</w:t>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Heading1"/>
              <w:jc w:val="both"/>
              <w:rPr/>
            </w:pPr>
            <w:r>
              <w:rPr>
                <w:rFonts w:eastAsia="Book Antiqua" w:cs="Book Antiqua" w:ascii="Book Antiqua" w:hAnsi="Book Antiqua"/>
                <w:color w:val="FF0000"/>
                <w:sz w:val="28"/>
                <w:szCs w:val="28"/>
              </w:rPr>
              <w:t>Les objectifs de formation :</w:t>
            </w:r>
          </w:p>
          <w:p>
            <w:pPr>
              <w:pStyle w:val="Normal"/>
              <w:jc w:val="both"/>
              <w:rPr/>
            </w:pPr>
            <w:r>
              <w:rPr/>
            </w:r>
          </w:p>
          <w:p>
            <w:pPr>
              <w:pStyle w:val="Heading1"/>
              <w:jc w:val="both"/>
              <w:rPr/>
            </w:pPr>
            <w:r>
              <w:rPr>
                <w:rFonts w:eastAsia="Book Antiqua" w:cs="Book Antiqua" w:ascii="Book Antiqua" w:hAnsi="Book Antiqua"/>
                <w:sz w:val="24"/>
                <w:szCs w:val="24"/>
              </w:rPr>
              <w:t>Cette formation se donne comme objectif de former les militants pour leur permettre de tenir des activités dans leur Comité, de parler de la CGT, d’expliquer, de défendre et de construire les revendications et les luttes des privés d’emploi et précaires.</w:t>
            </w:r>
          </w:p>
          <w:p>
            <w:pPr>
              <w:pStyle w:val="Normal"/>
              <w:jc w:val="both"/>
              <w:rPr/>
            </w:pPr>
            <w:r>
              <w:rPr/>
            </w:r>
          </w:p>
          <w:p>
            <w:pPr>
              <w:pStyle w:val="Normal"/>
              <w:rPr/>
            </w:pPr>
            <w:r>
              <w:rPr/>
            </w:r>
          </w:p>
          <w:p>
            <w:pPr>
              <w:pStyle w:val="Normal"/>
              <w:rPr/>
            </w:pPr>
            <w:r>
              <w:rPr/>
            </w:r>
          </w:p>
          <w:p>
            <w:pPr>
              <w:pStyle w:val="Normal"/>
              <w:rPr/>
            </w:pPr>
            <w:r>
              <w:rPr/>
            </w:r>
          </w:p>
          <w:p>
            <w:pPr>
              <w:pStyle w:val="Heading1"/>
              <w:rPr>
                <w:rFonts w:ascii="Book Antiqua" w:hAnsi="Book Antiqua" w:eastAsia="Book Antiqua" w:cs="Book Antiqua"/>
                <w:color w:val="FF0000"/>
                <w:sz w:val="28"/>
                <w:szCs w:val="28"/>
              </w:rPr>
            </w:pPr>
            <w:r>
              <w:rPr>
                <w:rFonts w:eastAsia="Book Antiqua" w:cs="Book Antiqua" w:ascii="Book Antiqua" w:hAnsi="Book Antiqua"/>
                <w:color w:val="FF0000"/>
                <w:sz w:val="28"/>
                <w:szCs w:val="28"/>
              </w:rPr>
            </w:r>
          </w:p>
          <w:p>
            <w:pPr>
              <w:pStyle w:val="Heading1"/>
              <w:jc w:val="both"/>
              <w:rPr>
                <w:rFonts w:ascii="Book Antiqua" w:hAnsi="Book Antiqua" w:eastAsia="Book Antiqua" w:cs="Book Antiqua"/>
                <w:color w:val="FF0000"/>
                <w:sz w:val="28"/>
                <w:szCs w:val="28"/>
              </w:rPr>
            </w:pPr>
            <w:r>
              <w:rPr>
                <w:rFonts w:eastAsia="Book Antiqua" w:cs="Book Antiqua" w:ascii="Book Antiqua" w:hAnsi="Book Antiqua"/>
                <w:color w:val="FF0000"/>
                <w:sz w:val="28"/>
                <w:szCs w:val="28"/>
              </w:rPr>
              <w:t>Les thèmes abordés :</w:t>
            </w:r>
          </w:p>
          <w:p>
            <w:pPr>
              <w:pStyle w:val="Normal"/>
              <w:jc w:val="both"/>
              <w:rPr>
                <w:rFonts w:ascii="Book Antiqua" w:hAnsi="Book Antiqua" w:eastAsia="Book Antiqua" w:cs="Book Antiqua"/>
                <w:i/>
                <w:i/>
              </w:rPr>
            </w:pPr>
            <w:r>
              <w:rPr>
                <w:rFonts w:eastAsia="Book Antiqua" w:cs="Book Antiqua" w:ascii="Book Antiqua" w:hAnsi="Book Antiqua"/>
                <w:i/>
              </w:rPr>
            </w:r>
          </w:p>
          <w:p>
            <w:pPr>
              <w:pStyle w:val="Normal"/>
              <w:numPr>
                <w:ilvl w:val="0"/>
                <w:numId w:val="3"/>
              </w:numPr>
              <w:spacing w:before="0" w:after="120"/>
              <w:jc w:val="both"/>
              <w:rPr/>
            </w:pPr>
            <w:r>
              <w:rPr>
                <w:rFonts w:eastAsia="Book Antiqua" w:cs="Book Antiqua" w:ascii="Book Antiqua" w:hAnsi="Book Antiqua"/>
                <w:b/>
                <w:i/>
              </w:rPr>
              <w:t>Chômage de masse et démarche revendicative CGT : comment revendiquer, comment lutter ?</w:t>
            </w:r>
          </w:p>
          <w:p>
            <w:pPr>
              <w:pStyle w:val="Normal"/>
              <w:numPr>
                <w:ilvl w:val="0"/>
                <w:numId w:val="3"/>
              </w:numPr>
              <w:spacing w:before="0" w:after="120"/>
              <w:jc w:val="both"/>
              <w:rPr/>
            </w:pPr>
            <w:r>
              <w:rPr>
                <w:rFonts w:eastAsia="Book Antiqua" w:cs="Book Antiqua" w:ascii="Book Antiqua" w:hAnsi="Book Antiqua"/>
                <w:b/>
                <w:i/>
              </w:rPr>
              <w:t>Droit au Travail et Droit à l'indemnisation : comment porter nos campagnes revendicatives ?</w:t>
            </w:r>
          </w:p>
          <w:p>
            <w:pPr>
              <w:pStyle w:val="Normal"/>
              <w:numPr>
                <w:ilvl w:val="0"/>
                <w:numId w:val="3"/>
              </w:numPr>
              <w:spacing w:before="0" w:after="120"/>
              <w:jc w:val="both"/>
              <w:rPr/>
            </w:pPr>
            <w:r>
              <w:rPr>
                <w:rFonts w:eastAsia="Book Antiqua" w:cs="Book Antiqua" w:ascii="Book Antiqua" w:hAnsi="Book Antiqua"/>
                <w:b/>
                <w:i/>
              </w:rPr>
              <w:t>Qu'est-ce que la CGT, quelles structures ? L'Histoire du mouvement ouvrier</w:t>
            </w:r>
          </w:p>
          <w:p>
            <w:pPr>
              <w:pStyle w:val="Normal"/>
              <w:numPr>
                <w:ilvl w:val="0"/>
                <w:numId w:val="3"/>
              </w:numPr>
              <w:spacing w:before="0" w:after="120"/>
              <w:jc w:val="both"/>
              <w:rPr/>
            </w:pPr>
            <w:r>
              <w:rPr>
                <w:rFonts w:eastAsia="Book Antiqua" w:cs="Book Antiqua" w:ascii="Book Antiqua" w:hAnsi="Book Antiqua"/>
                <w:b/>
                <w:i/>
              </w:rPr>
              <w:t>Histoire de l'assurance-chômage et de la Sécurité Sociale. La conquête et la défense du salaire socialisé hier et aujourd’hui.</w:t>
            </w:r>
          </w:p>
          <w:p>
            <w:pPr>
              <w:pStyle w:val="Normal"/>
              <w:numPr>
                <w:ilvl w:val="0"/>
                <w:numId w:val="3"/>
              </w:numPr>
              <w:spacing w:before="0" w:after="120"/>
              <w:jc w:val="both"/>
              <w:rPr/>
            </w:pPr>
            <w:r>
              <w:rPr>
                <w:rFonts w:eastAsia="Book Antiqua" w:cs="Book Antiqua" w:ascii="Book Antiqua" w:hAnsi="Book Antiqua"/>
                <w:b/>
                <w:i/>
              </w:rPr>
              <w:t>La formation professionnelle pour les privés d’emploi : un droit à utiliser et à défendre !</w:t>
            </w:r>
          </w:p>
          <w:p>
            <w:pPr>
              <w:pStyle w:val="Normal"/>
              <w:numPr>
                <w:ilvl w:val="0"/>
                <w:numId w:val="3"/>
              </w:numPr>
              <w:spacing w:before="0" w:after="120"/>
              <w:jc w:val="both"/>
              <w:rPr/>
            </w:pPr>
            <w:r>
              <w:rPr>
                <w:rFonts w:eastAsia="Book Antiqua" w:cs="Book Antiqua" w:ascii="Book Antiqua" w:hAnsi="Book Antiqua"/>
                <w:b/>
                <w:i/>
              </w:rPr>
              <w:t>Comment créer un Comité, comment militer, quels pratiques ? Comment se défendre collectivement avec son Comité ? Qu’est-ce que le CNTPEP ?</w:t>
            </w:r>
          </w:p>
          <w:p>
            <w:pPr>
              <w:pStyle w:val="Normal"/>
              <w:jc w:val="both"/>
              <w:rPr>
                <w:rFonts w:ascii="Book Antiqua" w:hAnsi="Book Antiqua" w:eastAsia="Book Antiqua" w:cs="Book Antiqua"/>
              </w:rPr>
            </w:pPr>
            <w:r>
              <w:rPr>
                <w:rFonts w:eastAsia="Book Antiqua" w:cs="Book Antiqua" w:ascii="Book Antiqua" w:hAnsi="Book Antiqua"/>
              </w:rPr>
            </w:r>
          </w:p>
          <w:p>
            <w:pPr>
              <w:pStyle w:val="Normal"/>
              <w:jc w:val="both"/>
              <w:rPr>
                <w:rFonts w:ascii="Book Antiqua" w:hAnsi="Book Antiqua" w:eastAsia="Book Antiqua" w:cs="Book Antiqua"/>
              </w:rPr>
            </w:pPr>
            <w:r>
              <w:rPr>
                <w:rFonts w:eastAsia="Book Antiqua" w:cs="Book Antiqua" w:ascii="Book Antiqua" w:hAnsi="Book Antiqua"/>
              </w:rPr>
            </w:r>
          </w:p>
          <w:p>
            <w:pPr>
              <w:pStyle w:val="Heading1"/>
              <w:jc w:val="both"/>
              <w:rPr/>
            </w:pPr>
            <w:r>
              <w:rPr>
                <w:rFonts w:eastAsia="Book Antiqua" w:cs="Book Antiqua" w:ascii="Book Antiqua" w:hAnsi="Book Antiqua"/>
                <w:color w:val="FF0000"/>
                <w:sz w:val="28"/>
                <w:szCs w:val="28"/>
              </w:rPr>
              <w:t>Les prérequis à cette formation :</w:t>
            </w:r>
          </w:p>
          <w:p>
            <w:pPr>
              <w:pStyle w:val="Normal"/>
              <w:jc w:val="both"/>
              <w:rPr>
                <w:rFonts w:ascii="Book Antiqua" w:hAnsi="Book Antiqua" w:eastAsia="Book Antiqua" w:cs="Book Antiqua"/>
              </w:rPr>
            </w:pPr>
            <w:r>
              <w:rPr>
                <w:rFonts w:eastAsia="Book Antiqua" w:cs="Book Antiqua" w:ascii="Book Antiqua" w:hAnsi="Book Antiqua"/>
              </w:rPr>
            </w:r>
          </w:p>
          <w:p>
            <w:pPr>
              <w:pStyle w:val="Normal"/>
              <w:jc w:val="both"/>
              <w:rPr/>
            </w:pPr>
            <w:bookmarkStart w:id="0" w:name="_gjdgxs"/>
            <w:bookmarkEnd w:id="0"/>
            <w:r>
              <w:rPr>
                <w:rFonts w:eastAsia="Book Antiqua" w:cs="Book Antiqua" w:ascii="Book Antiqua" w:hAnsi="Book Antiqua"/>
              </w:rPr>
              <w:t>Il est recommandé d’avoir suivi la FSG1 (Formation Syndicale Générale – Niveau 1) ou la Formation d’Accueil Nouveau Syndiqué (FANS) dans son Union Locale.</w:t>
            </w:r>
          </w:p>
          <w:p>
            <w:pPr>
              <w:pStyle w:val="Normal"/>
              <w:jc w:val="both"/>
              <w:rPr>
                <w:rFonts w:ascii="Book Antiqua" w:hAnsi="Book Antiqua" w:eastAsia="Book Antiqua" w:cs="Book Antiqua"/>
              </w:rPr>
            </w:pPr>
            <w:r>
              <w:rPr>
                <w:rFonts w:eastAsia="Book Antiqua" w:cs="Book Antiqua" w:ascii="Book Antiqua" w:hAnsi="Book Antiqua"/>
              </w:rPr>
            </w:r>
          </w:p>
          <w:p>
            <w:pPr>
              <w:pStyle w:val="Normal"/>
              <w:jc w:val="both"/>
              <w:rPr>
                <w:rFonts w:ascii="Book Antiqua" w:hAnsi="Book Antiqua" w:eastAsia="Book Antiqua" w:cs="Book Antiqua"/>
              </w:rPr>
            </w:pPr>
            <w:r>
              <w:rPr>
                <w:rFonts w:eastAsia="Book Antiqua" w:cs="Book Antiqua" w:ascii="Book Antiqua" w:hAnsi="Book Antiqua"/>
              </w:rPr>
            </w:r>
          </w:p>
          <w:p>
            <w:pPr>
              <w:pStyle w:val="Heading1"/>
              <w:jc w:val="both"/>
              <w:rPr/>
            </w:pPr>
            <w:r>
              <w:rPr>
                <w:rFonts w:eastAsia="Book Antiqua" w:cs="Book Antiqua" w:ascii="Book Antiqua" w:hAnsi="Book Antiqua"/>
                <w:color w:val="FF0000"/>
                <w:sz w:val="28"/>
                <w:szCs w:val="28"/>
              </w:rPr>
              <w:t>Forme et durée de l’action de formation</w:t>
            </w:r>
          </w:p>
          <w:p>
            <w:pPr>
              <w:pStyle w:val="Normal"/>
              <w:jc w:val="both"/>
              <w:rPr>
                <w:rFonts w:ascii="Book Antiqua" w:hAnsi="Book Antiqua" w:eastAsia="Book Antiqua" w:cs="Book Antiqua"/>
              </w:rPr>
            </w:pPr>
            <w:r>
              <w:rPr>
                <w:rFonts w:eastAsia="Book Antiqua" w:cs="Book Antiqua" w:ascii="Book Antiqua" w:hAnsi="Book Antiqua"/>
              </w:rPr>
            </w:r>
          </w:p>
          <w:p>
            <w:pPr>
              <w:pStyle w:val="Normal"/>
              <w:numPr>
                <w:ilvl w:val="0"/>
                <w:numId w:val="1"/>
              </w:numPr>
              <w:jc w:val="both"/>
              <w:rPr/>
            </w:pPr>
            <w:r>
              <w:rPr>
                <w:rFonts w:eastAsia="Book Antiqua" w:cs="Book Antiqua" w:ascii="Book Antiqua" w:hAnsi="Book Antiqua"/>
              </w:rPr>
              <w:t>En une seule fois, sur 4 jours et demi.</w:t>
            </w:r>
          </w:p>
          <w:p>
            <w:pPr>
              <w:pStyle w:val="Normal"/>
              <w:jc w:val="both"/>
              <w:rPr>
                <w:rFonts w:ascii="Book Antiqua" w:hAnsi="Book Antiqua" w:eastAsia="Book Antiqua" w:cs="Book Antiqua"/>
              </w:rPr>
            </w:pPr>
            <w:r>
              <w:rPr>
                <w:rFonts w:eastAsia="Book Antiqua" w:cs="Book Antiqua" w:ascii="Book Antiqua" w:hAnsi="Book Antiqua"/>
              </w:rPr>
            </w:r>
          </w:p>
          <w:p>
            <w:pPr>
              <w:pStyle w:val="Normal"/>
              <w:numPr>
                <w:ilvl w:val="0"/>
                <w:numId w:val="1"/>
              </w:numPr>
              <w:jc w:val="both"/>
              <w:rPr/>
            </w:pPr>
            <w:r>
              <w:rPr>
                <w:rFonts w:eastAsia="Book Antiqua" w:cs="Book Antiqua" w:ascii="Book Antiqua" w:hAnsi="Book Antiqua"/>
              </w:rPr>
              <w:t>Intervenants : des camarades du CN TPEP et de l’interpro.</w:t>
            </w:r>
          </w:p>
          <w:p>
            <w:pPr>
              <w:pStyle w:val="Normal"/>
              <w:jc w:val="both"/>
              <w:rPr>
                <w:rFonts w:ascii="Book Antiqua" w:hAnsi="Book Antiqua" w:eastAsia="Book Antiqua" w:cs="Book Antiqua"/>
              </w:rPr>
            </w:pPr>
            <w:r>
              <w:rPr>
                <w:rFonts w:eastAsia="Book Antiqua" w:cs="Book Antiqua" w:ascii="Book Antiqua" w:hAnsi="Book Antiqua"/>
              </w:rPr>
            </w:r>
          </w:p>
          <w:p>
            <w:pPr>
              <w:pStyle w:val="Normal"/>
              <w:numPr>
                <w:ilvl w:val="0"/>
                <w:numId w:val="1"/>
              </w:numPr>
              <w:jc w:val="both"/>
              <w:rPr/>
            </w:pPr>
            <w:r>
              <w:rPr>
                <w:rFonts w:eastAsia="Book Antiqua" w:cs="Book Antiqua" w:ascii="Book Antiqua" w:hAnsi="Book Antiqua"/>
              </w:rPr>
              <w:t>Durée : 9 demi-journées (4 jours et demi)</w:t>
            </w:r>
          </w:p>
          <w:p>
            <w:pPr>
              <w:pStyle w:val="Normal"/>
              <w:jc w:val="both"/>
              <w:rPr>
                <w:rFonts w:ascii="Book Antiqua" w:hAnsi="Book Antiqua" w:eastAsia="Book Antiqua" w:cs="Book Antiqua"/>
              </w:rPr>
            </w:pPr>
            <w:r>
              <w:rPr>
                <w:rFonts w:eastAsia="Book Antiqua" w:cs="Book Antiqua" w:ascii="Book Antiqua" w:hAnsi="Book Antiqua"/>
              </w:rPr>
            </w:r>
          </w:p>
          <w:p>
            <w:pPr>
              <w:pStyle w:val="Normal"/>
              <w:numPr>
                <w:ilvl w:val="0"/>
                <w:numId w:val="1"/>
              </w:numPr>
              <w:jc w:val="both"/>
              <w:rPr/>
            </w:pPr>
            <w:r>
              <w:rPr>
                <w:rFonts w:eastAsia="Book Antiqua" w:cs="Book Antiqua" w:ascii="Book Antiqua" w:hAnsi="Book Antiqua"/>
              </w:rPr>
              <w:t>Lieu : Centre de Formation Benoît Frachon</w:t>
            </w:r>
          </w:p>
          <w:p>
            <w:pPr>
              <w:pStyle w:val="Normal"/>
              <w:jc w:val="both"/>
              <w:rPr>
                <w:rFonts w:ascii="Book Antiqua" w:hAnsi="Book Antiqua" w:eastAsia="Book Antiqua" w:cs="Book Antiqua"/>
                <w:sz w:val="18"/>
                <w:szCs w:val="18"/>
              </w:rPr>
            </w:pPr>
            <w:r>
              <w:rPr>
                <w:rFonts w:eastAsia="Book Antiqua" w:cs="Book Antiqua" w:ascii="Book Antiqua" w:hAnsi="Book Antiqua"/>
                <w:sz w:val="18"/>
                <w:szCs w:val="18"/>
              </w:rPr>
            </w:r>
          </w:p>
        </w:tc>
      </w:tr>
    </w:tbl>
    <w:p>
      <w:pPr>
        <w:pStyle w:val="Normal"/>
        <w:tabs>
          <w:tab w:val="clear" w:pos="720"/>
          <w:tab w:val="center" w:pos="4536" w:leader="none"/>
          <w:tab w:val="right" w:pos="9072" w:leader="none"/>
        </w:tabs>
        <w:jc w:val="left"/>
        <w:rPr>
          <w:rFonts w:ascii="Book Antiqua" w:hAnsi="Book Antiqua" w:eastAsia="Book Antiqua" w:cs="Book Antiqua"/>
        </w:rPr>
      </w:pPr>
      <w:r>
        <w:rPr>
          <w:rFonts w:eastAsia="Book Antiqua" w:cs="Book Antiqua" w:ascii="Book Antiqua" w:hAnsi="Book Antiqua"/>
        </w:rPr>
      </w:r>
    </w:p>
    <w:sectPr>
      <w:footerReference w:type="even" r:id="rId4"/>
      <w:footerReference w:type="default" r:id="rId5"/>
      <w:footerReference w:type="first" r:id="rId6"/>
      <w:type w:val="nextPage"/>
      <w:pgSz w:w="11906" w:h="16838"/>
      <w:pgMar w:left="1417" w:right="1417" w:gutter="0" w:header="0" w:top="1417" w:footer="709" w:bottom="141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Liberation Sans">
    <w:altName w:val="Arial"/>
    <w:charset w:val="00"/>
    <w:family w:val="swiss"/>
    <w:pitch w:val="variable"/>
  </w:font>
  <w:font w:name="Georgia">
    <w:charset w:val="00"/>
    <w:family w:val="roman"/>
    <w:pitch w:val="variable"/>
  </w:font>
  <w:font w:name="Book Antiqua">
    <w:charset w:val="00"/>
    <w:family w:val="roman"/>
    <w:pitch w:val="variable"/>
  </w:font>
  <w:font w:name="Noto Sans Symbols">
    <w:charset w:val="01"/>
    <w:family w:val="swiss"/>
    <w:pitch w:val="default"/>
  </w:font>
  <w:font w:name="Verdana">
    <w:charset w:val="01"/>
    <w:family w:val="swiss"/>
    <w:pitch w:val="variable"/>
  </w:font>
  <w:font w:name="Courier New">
    <w:charset w:val="01"/>
    <w:family w:val="modern"/>
    <w:pitch w:val="fixed"/>
  </w:font>
  <w:font w:name="Book Antiqu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rPr>
        <w:color w:val="000000"/>
      </w:rPr>
    </w:pPr>
    <w:r>
      <w:rPr>
        <w:color w:val="000000"/>
      </w:rPr>
    </w:r>
  </w:p>
  <w:p>
    <w:pPr>
      <w:pStyle w:val="Normal"/>
      <w:rPr/>
    </w:pPr>
    <w:r>
      <w:rPr/>
    </w:r>
  </w:p>
  <w:p>
    <w:pPr>
      <w:pStyle w:val="Normal"/>
      <w:tabs>
        <w:tab w:val="clear" w:pos="720"/>
        <w:tab w:val="center" w:pos="4536" w:leader="none"/>
        <w:tab w:val="right" w:pos="9072" w:leader="none"/>
      </w:tabs>
      <w:jc w:val="right"/>
      <w:rPr>
        <w:color w:val="000000"/>
      </w:rPr>
    </w:pPr>
    <w:r>
      <w:rPr>
        <w:color w:val="000000"/>
      </w:rPr>
      <w:t xml:space="preserve">Page </w:t>
    </w: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color w:val="000000"/>
      </w:rPr>
      <w:t xml:space="preserve"> sur </w:t>
    </w:r>
    <w:r>
      <w:rPr>
        <w:b/>
        <w:color w:val="000000"/>
      </w:rPr>
      <w:fldChar w:fldCharType="begin"/>
    </w:r>
    <w:r>
      <w:rPr>
        <w:b/>
        <w:color w:val="000000"/>
      </w:rPr>
      <w:instrText xml:space="preserve"> NUMPAGES </w:instrText>
    </w:r>
    <w:r>
      <w:rPr>
        <w:b/>
        <w:color w:val="000000"/>
      </w:rPr>
      <w:fldChar w:fldCharType="separate"/>
    </w:r>
    <w:r>
      <w:rPr>
        <w:b/>
        <w:color w:val="000000"/>
      </w:rPr>
      <w:t>2</w:t>
    </w:r>
    <w:r>
      <w:rPr>
        <w:b/>
        <w:color w:val="000000"/>
      </w:rPr>
      <w:fldChar w:fldCharType="end"/>
    </w:r>
  </w:p>
  <w:p>
    <w:pPr>
      <w:pStyle w:val="Normal"/>
      <w:tabs>
        <w:tab w:val="clear" w:pos="720"/>
        <w:tab w:val="center" w:pos="4536" w:leader="none"/>
        <w:tab w:val="right" w:pos="9072"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jc w:val="right"/>
      <w:rPr>
        <w:color w:val="000000"/>
      </w:rPr>
    </w:pPr>
    <w:r>
      <w:rPr>
        <w:color w:val="000000"/>
      </w:rPr>
      <w:t xml:space="preserve">Page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color w:val="000000"/>
      </w:rPr>
      <w:t xml:space="preserve"> sur </w:t>
    </w:r>
    <w:r>
      <w:rPr>
        <w:b/>
        <w:color w:val="000000"/>
      </w:rPr>
      <w:fldChar w:fldCharType="begin"/>
    </w:r>
    <w:r>
      <w:rPr>
        <w:b/>
        <w:color w:val="000000"/>
      </w:rPr>
      <w:instrText xml:space="preserve"> NUMPAGES </w:instrText>
    </w:r>
    <w:r>
      <w:rPr>
        <w:b/>
        <w:color w:val="000000"/>
      </w:rPr>
      <w:fldChar w:fldCharType="separate"/>
    </w:r>
    <w:r>
      <w:rPr>
        <w:b/>
        <w:color w:val="000000"/>
      </w:rPr>
      <w:t>2</w:t>
    </w:r>
    <w:r>
      <w:rPr>
        <w:b/>
        <w:color w:val="000000"/>
      </w:rPr>
      <w:fldChar w:fldCharType="end"/>
    </w:r>
  </w:p>
  <w:p>
    <w:pPr>
      <w:pStyle w:val="Normal"/>
      <w:tabs>
        <w:tab w:val="clear" w:pos="720"/>
        <w:tab w:val="center" w:pos="4536" w:leader="none"/>
        <w:tab w:val="right" w:pos="9072" w:leader="none"/>
      </w:tabs>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qFormat/>
    <w:pPr>
      <w:ind w:left="397"/>
      <w:outlineLvl w:val="0"/>
    </w:pPr>
    <w:rPr>
      <w:b/>
      <w:sz w:val="40"/>
      <w:szCs w:val="40"/>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lineRule="auto" w:line="259" w:before="40" w:after="0"/>
      <w:jc w:val="left"/>
      <w:outlineLvl w:val="5"/>
    </w:pPr>
    <w:rPr>
      <w:rFonts w:ascii="Calibri" w:hAnsi="Calibri" w:eastAsia="Calibri" w:cs="Calibri"/>
      <w:color w:val="1E4D78"/>
      <w:sz w:val="22"/>
      <w:szCs w:val="22"/>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bb45e1"/>
    <w:rPr>
      <w:rFonts w:ascii="Segoe UI" w:hAnsi="Segoe UI" w:cs="Segoe UI"/>
      <w:sz w:val="18"/>
      <w:szCs w:val="18"/>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reuser">
    <w:name w:val="Titre (user)"/>
    <w:basedOn w:val="Normal"/>
    <w:next w:val="BodyText"/>
    <w:qFormat/>
    <w:pPr>
      <w:keepNext w:val="true"/>
      <w:spacing w:before="240" w:after="120"/>
    </w:pPr>
    <w:rPr>
      <w:rFonts w:ascii="Liberation Sans" w:hAnsi="Liberation Sans" w:eastAsia="Microsoft YaHei" w:cs="Mangal"/>
      <w:sz w:val="28"/>
      <w:szCs w:val="28"/>
    </w:rPr>
  </w:style>
  <w:style w:type="paragraph" w:styleId="Title">
    <w:name w:val="Title"/>
    <w:basedOn w:val="Normal"/>
    <w:next w:val="Normal"/>
    <w:qFormat/>
    <w:pPr>
      <w:tabs>
        <w:tab w:val="clear" w:pos="720"/>
        <w:tab w:val="center" w:pos="4536" w:leader="none"/>
        <w:tab w:val="right" w:pos="9072" w:leader="none"/>
      </w:tabs>
      <w:jc w:val="center"/>
    </w:pPr>
    <w:rPr>
      <w:b/>
      <w:sz w:val="40"/>
      <w:szCs w:val="4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edebullesCar"/>
    <w:uiPriority w:val="99"/>
    <w:semiHidden/>
    <w:unhideWhenUsed/>
    <w:qFormat/>
    <w:rsid w:val="00bb45e1"/>
    <w:pPr/>
    <w:rPr>
      <w:rFonts w:ascii="Segoe UI" w:hAnsi="Segoe UI" w:cs="Segoe UI"/>
      <w:sz w:val="18"/>
      <w:szCs w:val="1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Footer">
    <w:name w:val="footer"/>
    <w:basedOn w:val="En-tteetpieddepageuser"/>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homeur@cgt.org"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LibreOffice/25.2.6.2$Windows_X86_64 LibreOffice_project/729c5bfe710f5eb71ed3bbde9e06a6065e9c6c5d</Application>
  <AppVersion>15.0000</AppVersion>
  <DocSecurity>4</DocSecurity>
  <Pages>2</Pages>
  <Words>420</Words>
  <Characters>2171</Characters>
  <CharactersWithSpaces>2549</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2023-10-31T10:11:00Z</dcterms:created>
  <dc:creator>Pierre GARNODIER</dc:creator>
  <dc:description/>
  <dc:language>fr-FR</dc:language>
  <cp:lastModifiedBy/>
  <cp:lastPrinted>2023-08-31T12:06:00Z</cp:lastPrinted>
  <dcterms:modified xsi:type="dcterms:W3CDTF">2025-11-25T17:06:19Z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