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0839" w14:textId="3DBF9CD5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Pr="00881438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Pr="00881438" w:rsidRDefault="001B0EFE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B2647F">
        <w:rPr>
          <w:rFonts w:ascii="Kalinga" w:hAnsi="Kalinga" w:cs="Kalinga"/>
          <w:bCs/>
          <w:noProof/>
          <w:color w:val="FFC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B2647F">
        <w:rPr>
          <w:rFonts w:ascii="Kalinga" w:eastAsiaTheme="minorHAnsi" w:hAnsi="Kalinga" w:cs="Kalinga"/>
          <w:bCs/>
          <w:sz w:val="24"/>
          <w:szCs w:val="24"/>
          <w:u w:val="single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 xml:space="preserve">82 05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2D5B31" w:rsidRPr="00FD279D">
        <w:rPr>
          <w:rFonts w:ascii="Kalinga" w:eastAsiaTheme="minorHAnsi" w:hAnsi="Kalinga" w:cs="Kalinga"/>
          <w:sz w:val="16"/>
          <w:szCs w:val="16"/>
        </w:rPr>
        <w:t>pole.formation@cgt.fr</w:t>
      </w:r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r w:rsidR="00E674B5" w:rsidRPr="00FD279D">
        <w:rPr>
          <w:rFonts w:ascii="Kalinga" w:hAnsi="Kalinga" w:cs="Kalinga"/>
          <w:kern w:val="16"/>
          <w:sz w:val="16"/>
          <w:szCs w:val="16"/>
        </w:rPr>
        <w:t>http://www.formationsyndicale.cgt.fr</w:t>
      </w:r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511C63E4" w:rsidR="00D75E8A" w:rsidRPr="00066D28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 xml:space="preserve">Atelier des </w:t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  <w:lang w:eastAsia="fr-FR"/>
        </w:rPr>
        <w:t xml:space="preserve">Responsable </w:t>
      </w:r>
      <w:r w:rsidRPr="00066D28">
        <w:rPr>
          <w:rFonts w:ascii="Kalinga" w:hAnsi="Kalinga" w:cs="Kalinga"/>
          <w:bCs/>
          <w:noProof/>
          <w:sz w:val="20"/>
          <w:szCs w:val="20"/>
          <w:u w:val="single"/>
          <w:lang w:eastAsia="fr-FR"/>
        </w:rPr>
        <w:t>formation syndicale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0F365245" w14:textId="1DAF36AA" w:rsidR="00D75E8A" w:rsidRPr="003B203C" w:rsidRDefault="00D75E8A" w:rsidP="00D75E8A">
      <w:pPr>
        <w:suppressAutoHyphens w:val="0"/>
        <w:autoSpaceDN/>
        <w:spacing w:line="200" w:lineRule="atLeast"/>
        <w:ind w:left="1560" w:right="-428"/>
        <w:textAlignment w:val="auto"/>
        <w:rPr>
          <w:rFonts w:ascii="Kalinga" w:eastAsiaTheme="minorHAnsi" w:hAnsi="Kalinga" w:cs="Kalinga"/>
          <w:color w:val="D5A58B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t>Responsables</w:t>
      </w:r>
      <w:r w:rsidRPr="00A75706">
        <w:rPr>
          <w:rFonts w:ascii="Kalinga" w:hAnsi="Kalinga" w:cs="Kalinga"/>
          <w:sz w:val="18"/>
          <w:szCs w:val="18"/>
        </w:rPr>
        <w:t xml:space="preserve"> </w:t>
      </w:r>
      <w:r w:rsidRPr="00C25D63">
        <w:rPr>
          <w:rFonts w:ascii="Kalinga" w:hAnsi="Kalinga" w:cs="Kalinga"/>
          <w:bCs/>
          <w:sz w:val="18"/>
          <w:szCs w:val="18"/>
        </w:rPr>
        <w:t>de la formation syndicale des unions départementales, des fédérations et</w:t>
      </w:r>
      <w:r>
        <w:rPr>
          <w:rFonts w:ascii="Kalinga" w:hAnsi="Kalinga" w:cs="Kalinga"/>
          <w:bCs/>
          <w:sz w:val="18"/>
          <w:szCs w:val="18"/>
        </w:rPr>
        <w:t xml:space="preserve"> des comités régionaux</w:t>
      </w:r>
      <w:r w:rsidRPr="00A75706">
        <w:rPr>
          <w:rFonts w:ascii="Kalinga" w:hAnsi="Kalinga" w:cs="Kalinga"/>
          <w:sz w:val="18"/>
          <w:szCs w:val="18"/>
        </w:rPr>
        <w:t xml:space="preserve">. </w:t>
      </w:r>
    </w:p>
    <w:p w14:paraId="31FED871" w14:textId="0CEEA75C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18C22372" w14:textId="052CD2CF" w:rsidR="00D75E8A" w:rsidRDefault="00D75E8A" w:rsidP="00D75E8A">
      <w:pPr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8A4501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545BDA">
        <w:rPr>
          <w:rFonts w:ascii="Kalinga" w:hAnsi="Kalinga" w:cs="Kalinga"/>
          <w:sz w:val="18"/>
          <w:szCs w:val="18"/>
        </w:rPr>
        <w:t xml:space="preserve"> ». </w:t>
      </w:r>
      <w:r w:rsidRPr="00DA7DCD">
        <w:rPr>
          <w:rFonts w:ascii="Kalinga" w:hAnsi="Kalinga" w:cs="Kalinga"/>
          <w:sz w:val="18"/>
          <w:szCs w:val="18"/>
        </w:rPr>
        <w:t xml:space="preserve">Elle a pour but de permettre à </w:t>
      </w:r>
      <w:proofErr w:type="spellStart"/>
      <w:r w:rsidRPr="00DA7DCD">
        <w:rPr>
          <w:rFonts w:ascii="Kalinga" w:hAnsi="Kalinga" w:cs="Kalinga"/>
          <w:sz w:val="18"/>
          <w:szCs w:val="18"/>
        </w:rPr>
        <w:t>tou.</w:t>
      </w:r>
      <w:proofErr w:type="gramStart"/>
      <w:r w:rsidRPr="00DA7DCD">
        <w:rPr>
          <w:rFonts w:ascii="Kalinga" w:hAnsi="Kalinga" w:cs="Kalinga"/>
          <w:sz w:val="18"/>
          <w:szCs w:val="18"/>
        </w:rPr>
        <w:t>te.s</w:t>
      </w:r>
      <w:proofErr w:type="spellEnd"/>
      <w:proofErr w:type="gramEnd"/>
      <w:r w:rsidRPr="00DA7DCD">
        <w:rPr>
          <w:rFonts w:ascii="Kalinga" w:hAnsi="Kalinga" w:cs="Kalinga"/>
          <w:sz w:val="18"/>
          <w:szCs w:val="18"/>
        </w:rPr>
        <w:t xml:space="preserve"> nos responsables de la formation syndicale </w:t>
      </w:r>
      <w:r>
        <w:rPr>
          <w:rFonts w:ascii="Kalinga" w:hAnsi="Kalinga" w:cs="Kalinga"/>
          <w:sz w:val="18"/>
          <w:szCs w:val="18"/>
        </w:rPr>
        <w:t>d’échanger leurs expériences et d’analyser leurs pratiques afin d’enrichir leurs pratiques et de renforcer le réseau des RFS.</w:t>
      </w:r>
    </w:p>
    <w:p w14:paraId="6AD68F53" w14:textId="17A5C980" w:rsidR="00D75E8A" w:rsidRPr="00ED761A" w:rsidRDefault="00D75E8A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63DCAED9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06F805E" w14:textId="4EC47F31" w:rsidR="00D75E8A" w:rsidRDefault="00D75E8A" w:rsidP="00D75E8A">
      <w:pPr>
        <w:ind w:left="1560" w:right="-853"/>
        <w:rPr>
          <w:rFonts w:ascii="Kalinga" w:hAnsi="Kalinga" w:cs="Kalinga"/>
          <w:sz w:val="18"/>
          <w:szCs w:val="18"/>
        </w:rPr>
      </w:pPr>
      <w:r w:rsidRPr="00C25D63">
        <w:rPr>
          <w:rFonts w:ascii="Kalinga" w:hAnsi="Kalinga" w:cs="Kalinga"/>
          <w:sz w:val="18"/>
          <w:szCs w:val="18"/>
          <w:u w:val="single"/>
        </w:rPr>
        <w:t>À l’issue de la formation, les stagiaires seront en capacité</w:t>
      </w:r>
      <w:r w:rsidRPr="00E82D47">
        <w:rPr>
          <w:rFonts w:ascii="Kalinga" w:hAnsi="Kalinga" w:cs="Kalinga"/>
          <w:sz w:val="18"/>
          <w:szCs w:val="18"/>
        </w:rPr>
        <w:t xml:space="preserve"> :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Pr="00E82D47">
        <w:rPr>
          <w:rFonts w:ascii="Kalinga" w:hAnsi="Kalinga" w:cs="Kalinga"/>
          <w:sz w:val="18"/>
          <w:szCs w:val="18"/>
        </w:rPr>
        <w:t xml:space="preserve"> D’énoncer les principes de la démarche pédagogique de la CGT 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Pr="00E82D47">
        <w:rPr>
          <w:rFonts w:ascii="Kalinga" w:hAnsi="Kalinga" w:cs="Kalinga"/>
          <w:sz w:val="18"/>
          <w:szCs w:val="18"/>
        </w:rPr>
        <w:t>De définir les rôles et missions du responsable de la formation syndicale et d’identifier</w:t>
      </w:r>
      <w:r>
        <w:rPr>
          <w:rFonts w:ascii="Kalinga" w:hAnsi="Kalinga" w:cs="Kalinga"/>
          <w:sz w:val="18"/>
          <w:szCs w:val="18"/>
        </w:rPr>
        <w:t xml:space="preserve"> </w:t>
      </w:r>
      <w:r w:rsidRPr="00E82D47">
        <w:rPr>
          <w:rFonts w:ascii="Kalinga" w:hAnsi="Kalinga" w:cs="Kalinga"/>
          <w:sz w:val="18"/>
          <w:szCs w:val="18"/>
        </w:rPr>
        <w:t xml:space="preserve">les </w:t>
      </w:r>
      <w:r>
        <w:rPr>
          <w:rFonts w:ascii="Kalinga" w:hAnsi="Kalinga" w:cs="Kalinga"/>
          <w:sz w:val="18"/>
          <w:szCs w:val="18"/>
        </w:rPr>
        <w:t>outils</w:t>
      </w:r>
      <w:r>
        <w:rPr>
          <w:rFonts w:ascii="Kalinga" w:hAnsi="Kalinga" w:cs="Kalinga"/>
          <w:sz w:val="18"/>
          <w:szCs w:val="18"/>
        </w:rPr>
        <w:br/>
        <w:t xml:space="preserve">    </w:t>
      </w:r>
      <w:r w:rsidRPr="00E82D47">
        <w:rPr>
          <w:rFonts w:ascii="Kalinga" w:hAnsi="Kalinga" w:cs="Kalinga"/>
          <w:sz w:val="18"/>
          <w:szCs w:val="18"/>
        </w:rPr>
        <w:t>nécessaires à la réalisation de ces missions 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Pr="00E82D47">
        <w:rPr>
          <w:rFonts w:ascii="Kalinga" w:hAnsi="Kalinga" w:cs="Kalinga"/>
          <w:sz w:val="18"/>
          <w:szCs w:val="18"/>
        </w:rPr>
        <w:t xml:space="preserve"> D’énoncer les ressources et méthodes pour mettre en œuvre le projet pédagogique.</w:t>
      </w:r>
    </w:p>
    <w:p w14:paraId="409C64D3" w14:textId="77777777" w:rsidR="00D75E8A" w:rsidRPr="00ED761A" w:rsidRDefault="00D75E8A" w:rsidP="00D75E8A">
      <w:pPr>
        <w:ind w:left="1560" w:right="-569"/>
        <w:rPr>
          <w:rFonts w:ascii="Kalinga" w:hAnsi="Kalinga" w:cs="Kalinga"/>
          <w:sz w:val="10"/>
          <w:szCs w:val="10"/>
        </w:rPr>
      </w:pP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5F1DA1CF" w14:textId="77777777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L’auto-analyse des pratiques ;</w:t>
      </w:r>
    </w:p>
    <w:p w14:paraId="0ED56555" w14:textId="77777777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Stratégie et plan d’action syndical pour développer les stages CSE, SCCT et ASC ;</w:t>
      </w:r>
    </w:p>
    <w:p w14:paraId="2B9D2D45" w14:textId="77777777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Utilisation de l’outil </w:t>
      </w:r>
      <w:proofErr w:type="spellStart"/>
      <w:r>
        <w:rPr>
          <w:rFonts w:ascii="Kalinga" w:hAnsi="Kalinga" w:cs="Kalinga"/>
          <w:sz w:val="18"/>
          <w:szCs w:val="18"/>
        </w:rPr>
        <w:t>CoGiTiel</w:t>
      </w:r>
      <w:proofErr w:type="spellEnd"/>
      <w:r>
        <w:rPr>
          <w:rFonts w:ascii="Kalinga" w:hAnsi="Kalinga" w:cs="Kalinga"/>
          <w:sz w:val="18"/>
          <w:szCs w:val="18"/>
        </w:rPr>
        <w:t xml:space="preserve"> pour le plan de formation.</w:t>
      </w:r>
    </w:p>
    <w:p w14:paraId="47DE7D2B" w14:textId="77777777" w:rsidR="00D75E8A" w:rsidRPr="004B2085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br/>
      </w:r>
    </w:p>
    <w:p w14:paraId="3D74B0F0" w14:textId="77777777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40B4CA9E" w14:textId="77777777" w:rsidR="00D75E8A" w:rsidRDefault="00D75E8A" w:rsidP="00D75E8A">
      <w:pPr>
        <w:spacing w:line="240" w:lineRule="auto"/>
        <w:ind w:left="1559" w:right="-425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Les stagiaires devront déjà avoir suivi le module Responsable de la formation syndicale module 1 et un an d’expérience dans la responsabilité de RFS. Disposer d’un accès à </w:t>
      </w:r>
      <w:proofErr w:type="spellStart"/>
      <w:r>
        <w:rPr>
          <w:rFonts w:ascii="Kalinga" w:hAnsi="Kalinga" w:cs="Kalinga"/>
          <w:sz w:val="18"/>
          <w:szCs w:val="18"/>
        </w:rPr>
        <w:t>CoGiTiel</w:t>
      </w:r>
      <w:proofErr w:type="spellEnd"/>
      <w:r>
        <w:rPr>
          <w:rFonts w:ascii="Kalinga" w:hAnsi="Kalinga" w:cs="Kalinga"/>
          <w:sz w:val="18"/>
          <w:szCs w:val="18"/>
        </w:rPr>
        <w:t>.</w:t>
      </w:r>
    </w:p>
    <w:p w14:paraId="72CDEAA9" w14:textId="77777777" w:rsidR="00D75E8A" w:rsidRPr="00ED761A" w:rsidRDefault="00D75E8A" w:rsidP="00D75E8A">
      <w:pPr>
        <w:ind w:left="1560" w:right="-144"/>
        <w:jc w:val="both"/>
        <w:rPr>
          <w:rFonts w:ascii="Kalinga" w:hAnsi="Kalinga" w:cs="Kalinga"/>
          <w:sz w:val="8"/>
          <w:szCs w:val="8"/>
        </w:rPr>
      </w:pP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6F92C4" w14:textId="77777777" w:rsidR="00D75E8A" w:rsidRPr="009149D5" w:rsidRDefault="00D75E8A" w:rsidP="00D75E8A">
      <w:pPr>
        <w:spacing w:line="240" w:lineRule="auto"/>
        <w:ind w:left="1559" w:right="-284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au cours de la formation à l’occasion d’exercices </w:t>
      </w:r>
      <w:r w:rsidRPr="009149D5">
        <w:rPr>
          <w:rFonts w:ascii="Kalinga" w:hAnsi="Kalinga" w:cs="Kalinga"/>
          <w:sz w:val="18"/>
          <w:szCs w:val="18"/>
        </w:rPr>
        <w:t>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>de fin de journée et de fin de formation.</w:t>
      </w: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F668A77" w14:textId="6FDF25AA" w:rsidR="00287411" w:rsidRPr="00D75E8A" w:rsidRDefault="00D75E8A" w:rsidP="00D75E8A">
      <w:pPr>
        <w:pStyle w:val="Titre1"/>
        <w:ind w:left="1560" w:right="-428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Pr="004B2085">
        <w:rPr>
          <w:rFonts w:ascii="Arial" w:hAnsi="Arial" w:cs="Arial"/>
          <w:color w:val="ED1717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066D28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AEB"/>
        </w:rPr>
        <w:t>Stage</w:t>
      </w:r>
      <w:r w:rsidRPr="00D75E8A">
        <w:rPr>
          <w:rFonts w:ascii="Kalinga" w:hAnsi="Kalinga" w:cs="Kalinga"/>
          <w:b w:val="0"/>
          <w:bCs/>
          <w:sz w:val="18"/>
          <w:szCs w:val="18"/>
          <w:shd w:val="clear" w:color="auto" w:fill="FFFAEB"/>
        </w:rPr>
        <w:t xml:space="preserve"> de </w:t>
      </w:r>
      <w:r w:rsidRPr="00D75E8A">
        <w:rPr>
          <w:rFonts w:ascii="Kalinga" w:hAnsi="Kalinga" w:cs="Kalinga"/>
          <w:sz w:val="18"/>
          <w:szCs w:val="18"/>
          <w:shd w:val="clear" w:color="auto" w:fill="FFFAEB"/>
        </w:rPr>
        <w:t>2.5 jours </w:t>
      </w:r>
      <w:r w:rsidRPr="00D75E8A">
        <w:rPr>
          <w:rFonts w:ascii="Kalinga" w:hAnsi="Kalinga" w:cs="Kalinga"/>
          <w:b w:val="0"/>
          <w:sz w:val="18"/>
          <w:szCs w:val="18"/>
          <w:shd w:val="clear" w:color="auto" w:fill="FFFAEB"/>
        </w:rPr>
        <w:t xml:space="preserve">du 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>02 au 04 avril 2025</w:t>
      </w:r>
      <w:r w:rsidRPr="009149D5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b w:val="0"/>
          <w:bCs/>
          <w:sz w:val="18"/>
          <w:szCs w:val="18"/>
        </w:rPr>
        <w:t>(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>début à 8h30 le 1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  <w:vertAlign w:val="superscript"/>
        </w:rPr>
        <w:t>er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jour</w:t>
      </w:r>
      <w:r>
        <w:rPr>
          <w:rFonts w:ascii="Kalinga" w:hAnsi="Kalinga" w:cs="Kalinga"/>
          <w:b w:val="0"/>
          <w:bCs/>
          <w:sz w:val="18"/>
          <w:szCs w:val="18"/>
        </w:rPr>
        <w:t xml:space="preserve"> et 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>fin à 12h30 le 3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  <w:vertAlign w:val="superscript"/>
        </w:rPr>
        <w:t>ème</w:t>
      </w:r>
      <w:r w:rsidRPr="00D75E8A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jour</w:t>
      </w:r>
      <w:r>
        <w:rPr>
          <w:rFonts w:ascii="Kalinga" w:hAnsi="Kalinga" w:cs="Kalinga"/>
          <w:b w:val="0"/>
          <w:bCs/>
          <w:sz w:val="18"/>
          <w:szCs w:val="18"/>
        </w:rPr>
        <w:t xml:space="preserve">) au Centre Confédéral de formation syndicale Benoît Frachon à </w:t>
      </w:r>
      <w:proofErr w:type="spellStart"/>
      <w:r>
        <w:rPr>
          <w:rFonts w:ascii="Kalinga" w:hAnsi="Kalinga" w:cs="Kalinga"/>
          <w:b w:val="0"/>
          <w:bCs/>
          <w:sz w:val="18"/>
          <w:szCs w:val="18"/>
        </w:rPr>
        <w:t>Courcelle</w:t>
      </w:r>
      <w:proofErr w:type="spellEnd"/>
      <w:r>
        <w:rPr>
          <w:rFonts w:ascii="Kalinga" w:hAnsi="Kalinga" w:cs="Kalinga"/>
          <w:b w:val="0"/>
          <w:bCs/>
          <w:sz w:val="18"/>
          <w:szCs w:val="18"/>
        </w:rPr>
        <w:t>-sur-Yvette, accessible aux personnes à mobilité réduite. — 12 rue Fernand Léger – 91190 Gif-sur-Yvette —.</w:t>
      </w:r>
      <w:r>
        <w:rPr>
          <w:rFonts w:ascii="Kalinga" w:hAnsi="Kalinga" w:cs="Kalinga"/>
          <w:b w:val="0"/>
          <w:bCs/>
          <w:sz w:val="18"/>
          <w:szCs w:val="18"/>
        </w:rPr>
        <w:br/>
      </w:r>
    </w:p>
    <w:sectPr w:rsidR="00287411" w:rsidRPr="00D75E8A" w:rsidSect="00ED61BD">
      <w:headerReference w:type="default" r:id="rId10"/>
      <w:footerReference w:type="even" r:id="rId11"/>
      <w:footerReference w:type="default" r:id="rId12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21680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317E0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B5D41"/>
    <w:rsid w:val="009C2730"/>
    <w:rsid w:val="009C71DB"/>
    <w:rsid w:val="009D7FE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D279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DRIDER</dc:creator>
  <cp:lastModifiedBy>Djamila DRIDER</cp:lastModifiedBy>
  <cp:revision>2</cp:revision>
  <cp:lastPrinted>2024-04-11T07:49:00Z</cp:lastPrinted>
  <dcterms:created xsi:type="dcterms:W3CDTF">2025-02-12T08:11:00Z</dcterms:created>
  <dcterms:modified xsi:type="dcterms:W3CDTF">2025-02-12T08:11:00Z</dcterms:modified>
</cp:coreProperties>
</file>